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62559">
      <w:pPr>
        <w:pStyle w:val="6"/>
        <w:numPr>
          <w:ilvl w:val="0"/>
          <w:numId w:val="0"/>
        </w:numPr>
        <w:ind w:firstLine="482" w:firstLineChars="200"/>
        <w:jc w:val="center"/>
        <w:rPr>
          <w:rFonts w:ascii="黑体" w:hAnsi="黑体" w:eastAsia="黑体" w:cs="黑体"/>
          <w:b/>
          <w:bCs/>
          <w:color w:val="auto"/>
        </w:rPr>
      </w:pPr>
      <w:bookmarkStart w:id="0" w:name="_Toc10454"/>
      <w:bookmarkStart w:id="1" w:name="_Toc17660"/>
      <w:bookmarkStart w:id="2" w:name="_Toc14992"/>
      <w:r>
        <w:rPr>
          <w:rFonts w:ascii="黑体" w:hAnsi="黑体" w:eastAsia="黑体" w:cs="黑体"/>
          <w:b/>
          <w:bCs/>
          <w:color w:val="auto"/>
        </w:rPr>
        <w:t>水文泥沙</w:t>
      </w:r>
      <w:bookmarkEnd w:id="0"/>
      <w:bookmarkEnd w:id="1"/>
      <w:bookmarkEnd w:id="2"/>
    </w:p>
    <w:p w14:paraId="6C789C82">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sz w:val="24"/>
          <w:szCs w:val="24"/>
        </w:rPr>
      </w:pPr>
      <w:bookmarkStart w:id="3" w:name="_Toc14859"/>
      <w:bookmarkStart w:id="4" w:name="_Toc1676"/>
      <w:bookmarkStart w:id="5" w:name="_Toc5689"/>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.1流域概况</w:t>
      </w:r>
      <w:bookmarkEnd w:id="3"/>
      <w:bookmarkEnd w:id="4"/>
      <w:bookmarkEnd w:id="5"/>
    </w:p>
    <w:p w14:paraId="298A122C">
      <w:pPr>
        <w:spacing w:line="520" w:lineRule="exact"/>
        <w:ind w:firstLine="480" w:firstLineChars="200"/>
        <w:rPr>
          <w:color w:val="auto"/>
          <w:lang w:bidi="ar"/>
        </w:rPr>
      </w:pPr>
      <w:r>
        <w:rPr>
          <w:color w:val="auto"/>
          <w:lang w:bidi="ar"/>
        </w:rPr>
        <w:t>福建省南安抽水蓄能电站站址位于泉州市的南安市东田镇兰溪上游，上水库坝址位于兰溪上游南安市东田镇桃园村南割交自然村河段右侧小支流源头的黄巢沟，库区范围内植被茂密，</w:t>
      </w:r>
      <w:r>
        <w:rPr>
          <w:snapToGrid w:val="0"/>
          <w:color w:val="auto"/>
          <w:kern w:val="0"/>
          <w:lang w:bidi="ar"/>
        </w:rPr>
        <w:t>控制流域面积</w:t>
      </w:r>
      <w:r>
        <w:rPr>
          <w:color w:val="auto"/>
          <w:kern w:val="0"/>
          <w:lang w:bidi="ar"/>
        </w:rPr>
        <w:t>0.709km²</w:t>
      </w:r>
      <w:r>
        <w:rPr>
          <w:snapToGrid w:val="0"/>
          <w:color w:val="auto"/>
          <w:kern w:val="0"/>
          <w:lang w:bidi="ar"/>
        </w:rPr>
        <w:t>（其中主坝、西副坝、南副坝合围的本流域面积</w:t>
      </w:r>
      <w:r>
        <w:rPr>
          <w:color w:val="auto"/>
          <w:kern w:val="0"/>
          <w:lang w:bidi="ar"/>
        </w:rPr>
        <w:t>0.461k</w:t>
      </w:r>
      <w:r>
        <w:rPr>
          <w:rFonts w:hint="eastAsia"/>
          <w:color w:val="auto"/>
          <w:kern w:val="0"/>
          <w:lang w:bidi="ar"/>
        </w:rPr>
        <w:t>m²</w:t>
      </w:r>
      <w:r>
        <w:rPr>
          <w:snapToGrid w:val="0"/>
          <w:color w:val="auto"/>
          <w:kern w:val="0"/>
          <w:lang w:bidi="ar"/>
        </w:rPr>
        <w:t>，东副坝拦截的其他流域面积</w:t>
      </w:r>
      <w:r>
        <w:rPr>
          <w:color w:val="auto"/>
          <w:kern w:val="0"/>
          <w:lang w:bidi="ar"/>
        </w:rPr>
        <w:t>0.248k</w:t>
      </w:r>
      <w:r>
        <w:rPr>
          <w:rFonts w:hint="eastAsia"/>
          <w:color w:val="auto"/>
          <w:kern w:val="0"/>
          <w:lang w:bidi="ar"/>
        </w:rPr>
        <w:t>m²</w:t>
      </w:r>
      <w:r>
        <w:rPr>
          <w:snapToGrid w:val="0"/>
          <w:color w:val="auto"/>
          <w:kern w:val="0"/>
          <w:lang w:bidi="ar"/>
        </w:rPr>
        <w:t>），主河道全长</w:t>
      </w:r>
      <w:r>
        <w:rPr>
          <w:color w:val="auto"/>
          <w:kern w:val="0"/>
          <w:lang w:bidi="ar"/>
        </w:rPr>
        <w:t>1.48km</w:t>
      </w:r>
      <w:r>
        <w:rPr>
          <w:snapToGrid w:val="0"/>
          <w:color w:val="auto"/>
          <w:kern w:val="0"/>
          <w:lang w:bidi="ar"/>
        </w:rPr>
        <w:t>，河道平均坡降</w:t>
      </w:r>
      <w:r>
        <w:rPr>
          <w:color w:val="auto"/>
          <w:kern w:val="0"/>
          <w:lang w:bidi="ar"/>
        </w:rPr>
        <w:t>33.4‰</w:t>
      </w:r>
      <w:r>
        <w:rPr>
          <w:snapToGrid w:val="0"/>
          <w:color w:val="auto"/>
          <w:kern w:val="0"/>
          <w:lang w:bidi="ar"/>
        </w:rPr>
        <w:t>；库盆由所在山间盆地组成，呈南北向展布，库盆最低高程约</w:t>
      </w:r>
      <w:r>
        <w:rPr>
          <w:color w:val="auto"/>
          <w:kern w:val="0"/>
          <w:lang w:bidi="ar"/>
        </w:rPr>
        <w:t>570m</w:t>
      </w:r>
      <w:r>
        <w:rPr>
          <w:snapToGrid w:val="0"/>
          <w:color w:val="auto"/>
          <w:kern w:val="0"/>
          <w:lang w:bidi="ar"/>
        </w:rPr>
        <w:t>。</w:t>
      </w:r>
      <w:r>
        <w:rPr>
          <w:color w:val="auto"/>
          <w:lang w:bidi="ar"/>
        </w:rPr>
        <w:t>下水库坝址位于兰溪上游南安市东田镇桃园村四落自然村河段上游约1km处的主流上，库区河谷较宽，</w:t>
      </w:r>
      <w:r>
        <w:rPr>
          <w:snapToGrid w:val="0"/>
          <w:color w:val="auto"/>
          <w:kern w:val="0"/>
          <w:lang w:bidi="ar"/>
        </w:rPr>
        <w:t>控制流域面积</w:t>
      </w:r>
      <w:r>
        <w:rPr>
          <w:color w:val="auto"/>
          <w:kern w:val="0"/>
          <w:lang w:bidi="ar"/>
        </w:rPr>
        <w:t>11.4km²</w:t>
      </w:r>
      <w:r>
        <w:rPr>
          <w:snapToGrid w:val="0"/>
          <w:color w:val="auto"/>
          <w:kern w:val="0"/>
          <w:lang w:bidi="ar"/>
        </w:rPr>
        <w:t>，河流总长</w:t>
      </w:r>
      <w:r>
        <w:rPr>
          <w:color w:val="auto"/>
          <w:kern w:val="0"/>
          <w:lang w:bidi="ar"/>
        </w:rPr>
        <w:t>5.77km</w:t>
      </w:r>
      <w:r>
        <w:rPr>
          <w:snapToGrid w:val="0"/>
          <w:color w:val="auto"/>
          <w:kern w:val="0"/>
          <w:lang w:bidi="ar"/>
        </w:rPr>
        <w:t>，河道平均坡降</w:t>
      </w:r>
      <w:r>
        <w:rPr>
          <w:color w:val="auto"/>
          <w:kern w:val="0"/>
          <w:lang w:bidi="ar"/>
        </w:rPr>
        <w:t>99.5‰</w:t>
      </w:r>
      <w:r>
        <w:rPr>
          <w:snapToGrid w:val="0"/>
          <w:color w:val="auto"/>
          <w:kern w:val="0"/>
          <w:lang w:bidi="ar"/>
        </w:rPr>
        <w:t>，库盆最低高程约</w:t>
      </w:r>
      <w:r>
        <w:rPr>
          <w:color w:val="auto"/>
          <w:kern w:val="0"/>
          <w:lang w:bidi="ar"/>
        </w:rPr>
        <w:t>113m</w:t>
      </w:r>
      <w:r>
        <w:rPr>
          <w:color w:val="auto"/>
          <w:lang w:bidi="ar"/>
        </w:rPr>
        <w:t>。上水库和下水库分别位于兰溪的支流黄巢沟和兰溪干流上，但不是上下游关系。上水库、下水库为抽水蓄能电站工程专用水库。</w:t>
      </w:r>
    </w:p>
    <w:p w14:paraId="519547B6">
      <w:pPr>
        <w:spacing w:line="520" w:lineRule="exact"/>
        <w:ind w:firstLine="480" w:firstLineChars="200"/>
        <w:rPr>
          <w:color w:val="auto"/>
          <w:kern w:val="0"/>
        </w:rPr>
      </w:pPr>
      <w:r>
        <w:rPr>
          <w:snapToGrid w:val="0"/>
          <w:color w:val="auto"/>
          <w:lang w:bidi="ar"/>
        </w:rPr>
        <w:t>兰溪位于福建省南安市西南部，是晋江西溪的重要支流，发源于南安市东田镇与厦门市同安区新圩乡交界的芹山（海拔</w:t>
      </w:r>
      <w:r>
        <w:rPr>
          <w:color w:val="auto"/>
          <w:lang w:bidi="ar"/>
        </w:rPr>
        <w:t>1095.4m</w:t>
      </w:r>
      <w:r>
        <w:rPr>
          <w:snapToGrid w:val="0"/>
          <w:color w:val="auto"/>
          <w:lang w:bidi="ar"/>
        </w:rPr>
        <w:t>）和铁峰山（海拔</w:t>
      </w:r>
      <w:r>
        <w:rPr>
          <w:color w:val="auto"/>
          <w:lang w:bidi="ar"/>
        </w:rPr>
        <w:t>878.6m</w:t>
      </w:r>
      <w:r>
        <w:rPr>
          <w:snapToGrid w:val="0"/>
          <w:color w:val="auto"/>
          <w:lang w:bidi="ar"/>
        </w:rPr>
        <w:t>）山脉，自西向东流经东田、溪美，最终汇入晋江西溪。兰溪流域面积</w:t>
      </w:r>
      <w:r>
        <w:rPr>
          <w:color w:val="auto"/>
          <w:lang w:bidi="ar"/>
        </w:rPr>
        <w:t>173k</w:t>
      </w:r>
      <w:r>
        <w:rPr>
          <w:rFonts w:hint="eastAsia"/>
          <w:color w:val="auto"/>
          <w:lang w:bidi="ar"/>
        </w:rPr>
        <w:t>m²</w:t>
      </w:r>
      <w:r>
        <w:rPr>
          <w:snapToGrid w:val="0"/>
          <w:color w:val="auto"/>
          <w:lang w:bidi="ar"/>
        </w:rPr>
        <w:t>，主河长</w:t>
      </w:r>
      <w:r>
        <w:rPr>
          <w:color w:val="auto"/>
          <w:lang w:bidi="ar"/>
        </w:rPr>
        <w:t>34km</w:t>
      </w:r>
      <w:r>
        <w:rPr>
          <w:snapToGrid w:val="0"/>
          <w:color w:val="auto"/>
          <w:lang w:bidi="ar"/>
        </w:rPr>
        <w:t>，河道平均坡降</w:t>
      </w:r>
      <w:r>
        <w:rPr>
          <w:color w:val="auto"/>
          <w:lang w:bidi="ar"/>
        </w:rPr>
        <w:t>10.4‰</w:t>
      </w:r>
      <w:r>
        <w:rPr>
          <w:snapToGrid w:val="0"/>
          <w:color w:val="auto"/>
          <w:lang w:bidi="ar"/>
        </w:rPr>
        <w:t>。兰溪上游是福建南部暴雨高值区之一，水量充沛，年降雨量在</w:t>
      </w:r>
      <w:r>
        <w:rPr>
          <w:color w:val="auto"/>
          <w:lang w:bidi="ar"/>
        </w:rPr>
        <w:t>2000mm</w:t>
      </w:r>
      <w:r>
        <w:rPr>
          <w:snapToGrid w:val="0"/>
          <w:color w:val="auto"/>
          <w:lang w:bidi="ar"/>
        </w:rPr>
        <w:t>以上。</w:t>
      </w:r>
      <w:r>
        <w:rPr>
          <w:snapToGrid w:val="0"/>
          <w:color w:val="auto"/>
          <w:kern w:val="0"/>
          <w:lang w:bidi="ar"/>
        </w:rPr>
        <w:t>兰溪主要支流有龙潭溪支流、后溪支流、山美支流、美洋支流、陈岭支流、霞山后支流、甘露坑、南坑支流、岐山支流和官田支流等。</w:t>
      </w:r>
    </w:p>
    <w:p w14:paraId="63FB531F">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sz w:val="24"/>
          <w:szCs w:val="24"/>
        </w:rPr>
      </w:pPr>
      <w:bookmarkStart w:id="6" w:name="_Toc25925"/>
      <w:bookmarkStart w:id="7" w:name="_Toc22160"/>
      <w:bookmarkStart w:id="8" w:name="_Toc32387"/>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.2基本资料</w:t>
      </w:r>
      <w:bookmarkEnd w:id="6"/>
      <w:bookmarkEnd w:id="7"/>
      <w:bookmarkEnd w:id="8"/>
    </w:p>
    <w:p w14:paraId="2BDF8AC1">
      <w:pPr>
        <w:spacing w:line="520" w:lineRule="exact"/>
        <w:ind w:firstLine="480" w:firstLineChars="200"/>
        <w:outlineLvl w:val="0"/>
        <w:rPr>
          <w:color w:val="auto"/>
        </w:rPr>
      </w:pPr>
      <w:bookmarkStart w:id="9" w:name="_Toc14593"/>
      <w:bookmarkStart w:id="10" w:name="_Toc20020"/>
      <w:bookmarkStart w:id="11" w:name="_Toc11656"/>
      <w:bookmarkStart w:id="12" w:name="_Toc20879"/>
      <w:r>
        <w:rPr>
          <w:color w:val="auto"/>
          <w:lang w:bidi="ar"/>
        </w:rPr>
        <w:t>1、气象资料</w:t>
      </w:r>
      <w:bookmarkEnd w:id="9"/>
      <w:bookmarkEnd w:id="10"/>
      <w:bookmarkEnd w:id="11"/>
      <w:bookmarkEnd w:id="12"/>
    </w:p>
    <w:p w14:paraId="6304FB99">
      <w:pPr>
        <w:spacing w:line="520" w:lineRule="exact"/>
        <w:ind w:firstLine="480" w:firstLineChars="200"/>
        <w:rPr>
          <w:color w:val="auto"/>
        </w:rPr>
      </w:pPr>
      <w:r>
        <w:rPr>
          <w:color w:val="auto"/>
          <w:lang w:bidi="ar"/>
        </w:rPr>
        <w:t>兰溪流域内有东田气象站，2014年设立，位于东田四中内，海拔48m，气象观测资料较短，距离本项目下水库直线距离约4.5km。邻近有南安市气象站，资料系列长，观测项目齐全，距离本项目下水库直线距离约17.5km，本阶段以南安市气象站资料代表设计流域气象特征。</w:t>
      </w:r>
    </w:p>
    <w:p w14:paraId="71704FB3">
      <w:pPr>
        <w:spacing w:line="520" w:lineRule="exact"/>
        <w:ind w:firstLine="480" w:firstLineChars="200"/>
        <w:outlineLvl w:val="0"/>
        <w:rPr>
          <w:color w:val="auto"/>
        </w:rPr>
      </w:pPr>
      <w:bookmarkStart w:id="13" w:name="_Toc5837"/>
      <w:bookmarkStart w:id="14" w:name="_Toc4040"/>
      <w:bookmarkStart w:id="15" w:name="_Toc3127"/>
      <w:bookmarkStart w:id="16" w:name="_Toc1604"/>
      <w:r>
        <w:rPr>
          <w:color w:val="auto"/>
          <w:lang w:bidi="ar"/>
        </w:rPr>
        <w:t>2、水文资料</w:t>
      </w:r>
      <w:bookmarkEnd w:id="13"/>
      <w:bookmarkEnd w:id="14"/>
      <w:bookmarkEnd w:id="15"/>
      <w:bookmarkEnd w:id="16"/>
    </w:p>
    <w:p w14:paraId="1362BE72">
      <w:pPr>
        <w:spacing w:line="520" w:lineRule="exact"/>
        <w:ind w:firstLine="480" w:firstLineChars="200"/>
        <w:rPr>
          <w:color w:val="auto"/>
        </w:rPr>
      </w:pPr>
      <w:r>
        <w:rPr>
          <w:color w:val="auto"/>
          <w:lang w:bidi="ar"/>
        </w:rPr>
        <w:t>距上水库最近的为凤巢雨量站，邻近流域有造水（三甲）、汪前、荇后、汀溪水库、罗溪等雨量站。兰溪流域无水文测站，无实测流量资料，邻近流域有厦门同安区汀溪支流造水溪的造水水文站、同安区汀溪支流茂林溪（五峰溪）的五丰水文站，汀溪干流上的汀溪水库站，测验资料系列均较长且准确可靠。邻近流域还有东张、太平口、东圳、诏安、濑溪等水文站作为依据站。本次以造水水文站为径流、洪水计算的参证站。另外距离本流域较远的渡里（二）水文站有泥沙观测资料，可作为泥沙计算的依据站。</w:t>
      </w:r>
    </w:p>
    <w:p w14:paraId="4123AB1C">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sz w:val="24"/>
          <w:szCs w:val="24"/>
        </w:rPr>
      </w:pPr>
      <w:bookmarkStart w:id="17" w:name="_Toc5392"/>
      <w:bookmarkStart w:id="18" w:name="_Toc15494"/>
      <w:bookmarkStart w:id="19" w:name="_Toc18903"/>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.3气象</w:t>
      </w:r>
      <w:bookmarkEnd w:id="17"/>
      <w:bookmarkEnd w:id="18"/>
      <w:bookmarkEnd w:id="19"/>
    </w:p>
    <w:p w14:paraId="58D397D6">
      <w:pPr>
        <w:spacing w:line="520" w:lineRule="exact"/>
        <w:ind w:firstLine="480" w:firstLineChars="200"/>
        <w:rPr>
          <w:color w:val="auto"/>
        </w:rPr>
      </w:pPr>
      <w:r>
        <w:rPr>
          <w:color w:val="auto"/>
          <w:lang w:bidi="ar"/>
        </w:rPr>
        <w:t>兰溪流域属亚热带海洋性季风气候，季风明显，气候温热，气温日差小，蒸发量大，降雨集中在夏秋之间。本阶段以南安市气象站作为气象参证站。上水库多年平均面雨量为2062mm，年平均气温18.7℃，极端最高气温35.8℃，极端最低气温-3.7℃。下水库多年平均面雨量为2071mm，年平均气温21.3℃，极端最高气温38.4℃，极端最低气温-1.1℃。上、下水库多年平均相对湿度约为74%，年际间变幅较小，最小相对湿度10%；年平均水面蒸发量为1150mm；区域累积大风日数12天，累积雾日数42天，累积雷暴日数119天，高山多于平原。</w:t>
      </w:r>
    </w:p>
    <w:p w14:paraId="5B75AF8F">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sz w:val="24"/>
          <w:szCs w:val="24"/>
        </w:rPr>
      </w:pPr>
      <w:bookmarkStart w:id="20" w:name="_Toc13983"/>
      <w:bookmarkStart w:id="21" w:name="_Toc6479"/>
      <w:bookmarkStart w:id="22" w:name="_Toc30940"/>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.4径流</w:t>
      </w:r>
      <w:bookmarkEnd w:id="20"/>
      <w:bookmarkEnd w:id="21"/>
      <w:bookmarkEnd w:id="22"/>
    </w:p>
    <w:p w14:paraId="3D098EFC">
      <w:pPr>
        <w:snapToGrid w:val="0"/>
        <w:spacing w:line="520" w:lineRule="exact"/>
        <w:ind w:firstLine="480" w:firstLineChars="200"/>
        <w:rPr>
          <w:color w:val="auto"/>
        </w:rPr>
      </w:pPr>
      <w:r>
        <w:rPr>
          <w:snapToGrid w:val="0"/>
          <w:color w:val="auto"/>
          <w:kern w:val="0"/>
          <w:lang w:bidi="ar"/>
        </w:rPr>
        <w:t>本阶段采用与下水库面积相近的造水站（</w:t>
      </w:r>
      <w:r>
        <w:rPr>
          <w:color w:val="auto"/>
          <w:kern w:val="0"/>
          <w:lang w:bidi="ar"/>
        </w:rPr>
        <w:t>F=10.5k</w:t>
      </w:r>
      <w:r>
        <w:rPr>
          <w:rFonts w:hint="eastAsia"/>
          <w:color w:val="auto"/>
          <w:kern w:val="0"/>
          <w:lang w:bidi="ar"/>
        </w:rPr>
        <w:t>m²</w:t>
      </w:r>
      <w:r>
        <w:rPr>
          <w:snapToGrid w:val="0"/>
          <w:color w:val="auto"/>
          <w:kern w:val="0"/>
          <w:lang w:bidi="ar"/>
        </w:rPr>
        <w:t>）作为各控制断面径流设计依据站，</w:t>
      </w:r>
      <w:r>
        <w:rPr>
          <w:color w:val="auto"/>
          <w:lang w:bidi="ar"/>
        </w:rPr>
        <w:t>上、</w:t>
      </w:r>
      <w:r>
        <w:rPr>
          <w:snapToGrid w:val="0"/>
          <w:color w:val="auto"/>
          <w:kern w:val="0"/>
          <w:lang w:bidi="ar"/>
        </w:rPr>
        <w:t>下水库坝址搬用造水水文站的径流系列，用面积和面雨量修正。根据</w:t>
      </w:r>
      <w:r>
        <w:rPr>
          <w:color w:val="auto"/>
          <w:kern w:val="0"/>
          <w:lang w:bidi="ar"/>
        </w:rPr>
        <w:t>1973</w:t>
      </w:r>
      <w:r>
        <w:rPr>
          <w:snapToGrid w:val="0"/>
          <w:color w:val="auto"/>
          <w:kern w:val="0"/>
          <w:lang w:bidi="ar"/>
        </w:rPr>
        <w:t>年</w:t>
      </w:r>
      <w:r>
        <w:rPr>
          <w:color w:val="auto"/>
          <w:kern w:val="0"/>
          <w:lang w:bidi="ar"/>
        </w:rPr>
        <w:t>4</w:t>
      </w:r>
      <w:r>
        <w:rPr>
          <w:snapToGrid w:val="0"/>
          <w:color w:val="auto"/>
          <w:kern w:val="0"/>
          <w:lang w:bidi="ar"/>
        </w:rPr>
        <w:t>月～</w:t>
      </w:r>
      <w:r>
        <w:rPr>
          <w:color w:val="auto"/>
          <w:kern w:val="0"/>
          <w:lang w:bidi="ar"/>
        </w:rPr>
        <w:t>2021</w:t>
      </w:r>
      <w:r>
        <w:rPr>
          <w:snapToGrid w:val="0"/>
          <w:color w:val="auto"/>
          <w:kern w:val="0"/>
          <w:lang w:bidi="ar"/>
        </w:rPr>
        <w:t>年</w:t>
      </w:r>
      <w:r>
        <w:rPr>
          <w:color w:val="auto"/>
          <w:kern w:val="0"/>
          <w:lang w:bidi="ar"/>
        </w:rPr>
        <w:t>3</w:t>
      </w:r>
      <w:r>
        <w:rPr>
          <w:snapToGrid w:val="0"/>
          <w:color w:val="auto"/>
          <w:kern w:val="0"/>
          <w:lang w:bidi="ar"/>
        </w:rPr>
        <w:t>月共</w:t>
      </w:r>
      <w:r>
        <w:rPr>
          <w:color w:val="auto"/>
          <w:kern w:val="0"/>
          <w:lang w:bidi="ar"/>
        </w:rPr>
        <w:t>48</w:t>
      </w:r>
      <w:r>
        <w:rPr>
          <w:snapToGrid w:val="0"/>
          <w:color w:val="auto"/>
          <w:kern w:val="0"/>
          <w:lang w:bidi="ar"/>
        </w:rPr>
        <w:t>年</w:t>
      </w:r>
      <w:r>
        <w:rPr>
          <w:color w:val="auto"/>
          <w:lang w:bidi="ar"/>
        </w:rPr>
        <w:t>逐月径流系列，</w:t>
      </w:r>
      <w:r>
        <w:rPr>
          <w:snapToGrid w:val="0"/>
          <w:color w:val="auto"/>
          <w:kern w:val="0"/>
          <w:lang w:bidi="ar"/>
        </w:rPr>
        <w:t>上水库坝址年平均降雨量2062mm，流量0.028</w:t>
      </w:r>
      <w:r>
        <w:rPr>
          <w:color w:val="auto"/>
          <w:lang w:bidi="ar"/>
        </w:rPr>
        <w:t>m³/s，年径流量88.8万m³，径流深1253mm，径流系数0.61；下</w:t>
      </w:r>
      <w:r>
        <w:rPr>
          <w:snapToGrid w:val="0"/>
          <w:color w:val="auto"/>
          <w:kern w:val="0"/>
          <w:lang w:bidi="ar"/>
        </w:rPr>
        <w:t>水库坝址年平均降雨量2071mm，流量0.454</w:t>
      </w:r>
      <w:r>
        <w:rPr>
          <w:color w:val="auto"/>
          <w:lang w:bidi="ar"/>
        </w:rPr>
        <w:t>m³/s，年径流量1436万m³，径流深1260mm，径流系数0.61。</w:t>
      </w:r>
    </w:p>
    <w:p w14:paraId="2FB42826">
      <w:pPr>
        <w:spacing w:line="360" w:lineRule="auto"/>
        <w:ind w:firstLine="480" w:firstLineChars="200"/>
        <w:jc w:val="center"/>
        <w:rPr>
          <w:rFonts w:hint="eastAsia" w:ascii="黑体" w:hAnsi="宋体" w:eastAsia="黑体" w:cs="黑体"/>
          <w:color w:val="auto"/>
        </w:rPr>
      </w:pPr>
      <w:r>
        <w:rPr>
          <w:rFonts w:hint="eastAsia" w:ascii="黑体" w:hAnsi="宋体" w:eastAsia="黑体" w:cs="黑体"/>
          <w:color w:val="auto"/>
          <w:szCs w:val="21"/>
          <w:lang w:bidi="ar"/>
        </w:rPr>
        <w:br w:type="page"/>
      </w:r>
      <w:r>
        <w:rPr>
          <w:rFonts w:hint="eastAsia" w:ascii="黑体" w:hAnsi="宋体" w:eastAsia="黑体" w:cs="黑体"/>
          <w:color w:val="auto"/>
          <w:szCs w:val="21"/>
          <w:lang w:bidi="ar"/>
        </w:rPr>
        <w:t>控</w:t>
      </w:r>
      <w:r>
        <w:rPr>
          <w:rFonts w:hint="eastAsia" w:ascii="黑体" w:hAnsi="宋体" w:eastAsia="黑体" w:cs="黑体"/>
          <w:color w:val="auto"/>
          <w:lang w:bidi="ar"/>
        </w:rPr>
        <w:t>制断面年平均径流成果表（天然）</w:t>
      </w:r>
    </w:p>
    <w:p w14:paraId="5DCD7C52">
      <w:pPr>
        <w:spacing w:line="360" w:lineRule="auto"/>
        <w:rPr>
          <w:color w:val="auto"/>
          <w:sz w:val="21"/>
          <w:szCs w:val="21"/>
        </w:rPr>
      </w:pPr>
      <w:r>
        <w:rPr>
          <w:rFonts w:hint="eastAsia" w:cs="宋体"/>
          <w:color w:val="auto"/>
          <w:sz w:val="21"/>
          <w:szCs w:val="21"/>
          <w:lang w:bidi="ar"/>
        </w:rPr>
        <w:t>表</w:t>
      </w:r>
      <w:r>
        <w:rPr>
          <w:rFonts w:hint="eastAsia"/>
          <w:color w:val="auto"/>
          <w:sz w:val="21"/>
          <w:szCs w:val="21"/>
          <w:lang w:val="en-US" w:eastAsia="zh-CN" w:bidi="ar"/>
        </w:rPr>
        <w:t>1</w:t>
      </w:r>
      <w:r>
        <w:rPr>
          <w:color w:val="auto"/>
          <w:sz w:val="21"/>
          <w:szCs w:val="21"/>
          <w:lang w:bidi="ar"/>
        </w:rPr>
        <w:t xml:space="preserve">                                                                 Q</w:t>
      </w:r>
      <w:r>
        <w:rPr>
          <w:color w:val="auto"/>
          <w:sz w:val="21"/>
          <w:szCs w:val="21"/>
          <w:vertAlign w:val="subscript"/>
          <w:lang w:bidi="ar"/>
        </w:rPr>
        <w:t>0</w:t>
      </w:r>
      <w:r>
        <w:rPr>
          <w:rFonts w:hint="eastAsia" w:cs="宋体"/>
          <w:color w:val="auto"/>
          <w:sz w:val="21"/>
          <w:szCs w:val="21"/>
          <w:lang w:bidi="ar"/>
        </w:rPr>
        <w:t>：</w:t>
      </w:r>
      <w:r>
        <w:rPr>
          <w:color w:val="auto"/>
          <w:sz w:val="21"/>
          <w:szCs w:val="21"/>
          <w:lang w:bidi="ar"/>
        </w:rPr>
        <w:t>m</w:t>
      </w:r>
      <w:r>
        <w:rPr>
          <w:rFonts w:hint="eastAsia" w:cs="宋体"/>
          <w:color w:val="auto"/>
          <w:sz w:val="21"/>
          <w:szCs w:val="21"/>
          <w:lang w:bidi="ar"/>
        </w:rPr>
        <w:t>³</w:t>
      </w:r>
      <w:r>
        <w:rPr>
          <w:color w:val="auto"/>
          <w:sz w:val="21"/>
          <w:szCs w:val="21"/>
          <w:lang w:bidi="ar"/>
        </w:rPr>
        <w:t>/s</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816"/>
        <w:gridCol w:w="1853"/>
        <w:gridCol w:w="1853"/>
      </w:tblGrid>
      <w:tr w14:paraId="433B44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12" w:space="0"/>
              <w:left w:val="single" w:color="auto" w:sz="12" w:space="0"/>
              <w:bottom w:val="single" w:color="auto" w:sz="4" w:space="0"/>
              <w:right w:val="single" w:color="auto" w:sz="4" w:space="0"/>
            </w:tcBorders>
            <w:noWrap w:val="0"/>
            <w:vAlign w:val="top"/>
          </w:tcPr>
          <w:p w14:paraId="55EF4C55">
            <w:pPr>
              <w:spacing w:line="320" w:lineRule="exact"/>
              <w:jc w:val="center"/>
              <w:rPr>
                <w:color w:val="auto"/>
                <w:kern w:val="0"/>
                <w:sz w:val="21"/>
                <w:szCs w:val="21"/>
              </w:rPr>
            </w:pPr>
            <w:r>
              <w:rPr>
                <w:color w:val="auto"/>
                <w:kern w:val="0"/>
                <w:sz w:val="21"/>
                <w:szCs w:val="21"/>
                <w:lang w:bidi="ar"/>
              </w:rPr>
              <w:t>月份</w:t>
            </w:r>
          </w:p>
        </w:tc>
        <w:tc>
          <w:tcPr>
            <w:tcW w:w="1087" w:type="pct"/>
            <w:tcBorders>
              <w:top w:val="single" w:color="auto" w:sz="12" w:space="0"/>
              <w:left w:val="single" w:color="auto" w:sz="4" w:space="0"/>
              <w:bottom w:val="single" w:color="auto" w:sz="4" w:space="0"/>
              <w:right w:val="single" w:color="auto" w:sz="4" w:space="0"/>
            </w:tcBorders>
            <w:noWrap w:val="0"/>
            <w:vAlign w:val="top"/>
          </w:tcPr>
          <w:p w14:paraId="742AA70E">
            <w:pPr>
              <w:spacing w:line="320" w:lineRule="exact"/>
              <w:jc w:val="center"/>
              <w:rPr>
                <w:color w:val="auto"/>
                <w:kern w:val="0"/>
                <w:sz w:val="21"/>
                <w:szCs w:val="21"/>
              </w:rPr>
            </w:pPr>
            <w:r>
              <w:rPr>
                <w:color w:val="auto"/>
                <w:kern w:val="0"/>
                <w:sz w:val="21"/>
                <w:szCs w:val="21"/>
                <w:lang w:bidi="ar"/>
              </w:rPr>
              <w:t>Q</w:t>
            </w:r>
            <w:r>
              <w:rPr>
                <w:color w:val="auto"/>
                <w:kern w:val="0"/>
                <w:sz w:val="21"/>
                <w:szCs w:val="21"/>
                <w:vertAlign w:val="subscript"/>
                <w:lang w:bidi="ar"/>
              </w:rPr>
              <w:t>上</w:t>
            </w:r>
          </w:p>
        </w:tc>
        <w:tc>
          <w:tcPr>
            <w:tcW w:w="1087" w:type="pct"/>
            <w:tcBorders>
              <w:top w:val="single" w:color="auto" w:sz="12" w:space="0"/>
              <w:left w:val="single" w:color="auto" w:sz="4" w:space="0"/>
              <w:bottom w:val="single" w:color="auto" w:sz="4" w:space="0"/>
              <w:right w:val="single" w:color="auto" w:sz="12" w:space="0"/>
            </w:tcBorders>
            <w:noWrap w:val="0"/>
            <w:vAlign w:val="top"/>
          </w:tcPr>
          <w:p w14:paraId="134C9B2A">
            <w:pPr>
              <w:spacing w:line="320" w:lineRule="exact"/>
              <w:jc w:val="center"/>
              <w:rPr>
                <w:color w:val="auto"/>
                <w:kern w:val="0"/>
                <w:sz w:val="21"/>
                <w:szCs w:val="21"/>
              </w:rPr>
            </w:pPr>
            <w:r>
              <w:rPr>
                <w:color w:val="auto"/>
                <w:kern w:val="0"/>
                <w:sz w:val="21"/>
                <w:szCs w:val="21"/>
                <w:lang w:bidi="ar"/>
              </w:rPr>
              <w:t>Q</w:t>
            </w:r>
            <w:r>
              <w:rPr>
                <w:color w:val="auto"/>
                <w:kern w:val="0"/>
                <w:sz w:val="21"/>
                <w:szCs w:val="21"/>
                <w:vertAlign w:val="subscript"/>
                <w:lang w:bidi="ar"/>
              </w:rPr>
              <w:t>下</w:t>
            </w:r>
          </w:p>
        </w:tc>
      </w:tr>
      <w:tr w14:paraId="299F20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0128A3BD">
            <w:pPr>
              <w:spacing w:line="320" w:lineRule="exact"/>
              <w:jc w:val="center"/>
              <w:rPr>
                <w:color w:val="auto"/>
                <w:kern w:val="0"/>
                <w:sz w:val="21"/>
                <w:szCs w:val="21"/>
              </w:rPr>
            </w:pPr>
            <w:r>
              <w:rPr>
                <w:color w:val="auto"/>
                <w:kern w:val="0"/>
                <w:sz w:val="21"/>
                <w:szCs w:val="21"/>
                <w:lang w:bidi="ar"/>
              </w:rPr>
              <w:t>1</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4D2DE3EE">
            <w:pPr>
              <w:spacing w:line="320" w:lineRule="exact"/>
              <w:jc w:val="center"/>
              <w:rPr>
                <w:color w:val="auto"/>
                <w:kern w:val="0"/>
                <w:sz w:val="21"/>
                <w:szCs w:val="21"/>
              </w:rPr>
            </w:pPr>
            <w:r>
              <w:rPr>
                <w:color w:val="auto"/>
                <w:kern w:val="0"/>
                <w:sz w:val="21"/>
                <w:szCs w:val="21"/>
                <w:lang w:bidi="ar"/>
              </w:rPr>
              <w:t>0.005</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6EF033EE">
            <w:pPr>
              <w:spacing w:line="320" w:lineRule="exact"/>
              <w:jc w:val="center"/>
              <w:rPr>
                <w:color w:val="auto"/>
                <w:kern w:val="0"/>
                <w:sz w:val="21"/>
                <w:szCs w:val="21"/>
              </w:rPr>
            </w:pPr>
            <w:r>
              <w:rPr>
                <w:color w:val="auto"/>
                <w:kern w:val="0"/>
                <w:sz w:val="21"/>
                <w:szCs w:val="21"/>
                <w:lang w:bidi="ar"/>
              </w:rPr>
              <w:t>0.078</w:t>
            </w:r>
          </w:p>
        </w:tc>
      </w:tr>
      <w:tr w14:paraId="2CEFC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7FCB5FFA">
            <w:pPr>
              <w:spacing w:line="320" w:lineRule="exact"/>
              <w:jc w:val="center"/>
              <w:rPr>
                <w:color w:val="auto"/>
                <w:kern w:val="0"/>
                <w:sz w:val="21"/>
                <w:szCs w:val="21"/>
              </w:rPr>
            </w:pPr>
            <w:r>
              <w:rPr>
                <w:color w:val="auto"/>
                <w:kern w:val="0"/>
                <w:sz w:val="21"/>
                <w:szCs w:val="21"/>
                <w:lang w:bidi="ar"/>
              </w:rPr>
              <w:t>2</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10E34B28">
            <w:pPr>
              <w:spacing w:line="320" w:lineRule="exact"/>
              <w:jc w:val="center"/>
              <w:rPr>
                <w:color w:val="auto"/>
                <w:kern w:val="0"/>
                <w:sz w:val="21"/>
                <w:szCs w:val="21"/>
              </w:rPr>
            </w:pPr>
            <w:r>
              <w:rPr>
                <w:color w:val="auto"/>
                <w:kern w:val="0"/>
                <w:sz w:val="21"/>
                <w:szCs w:val="21"/>
                <w:lang w:bidi="ar"/>
              </w:rPr>
              <w:t>0.007</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0CDB55ED">
            <w:pPr>
              <w:spacing w:line="320" w:lineRule="exact"/>
              <w:jc w:val="center"/>
              <w:rPr>
                <w:color w:val="auto"/>
                <w:kern w:val="0"/>
                <w:sz w:val="21"/>
                <w:szCs w:val="21"/>
              </w:rPr>
            </w:pPr>
            <w:r>
              <w:rPr>
                <w:color w:val="auto"/>
                <w:kern w:val="0"/>
                <w:sz w:val="21"/>
                <w:szCs w:val="21"/>
                <w:lang w:bidi="ar"/>
              </w:rPr>
              <w:t>0.107</w:t>
            </w:r>
          </w:p>
        </w:tc>
      </w:tr>
      <w:tr w14:paraId="10D004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46301388">
            <w:pPr>
              <w:spacing w:line="320" w:lineRule="exact"/>
              <w:jc w:val="center"/>
              <w:rPr>
                <w:color w:val="auto"/>
                <w:kern w:val="0"/>
                <w:sz w:val="21"/>
                <w:szCs w:val="21"/>
              </w:rPr>
            </w:pPr>
            <w:r>
              <w:rPr>
                <w:color w:val="auto"/>
                <w:kern w:val="0"/>
                <w:sz w:val="21"/>
                <w:szCs w:val="21"/>
                <w:lang w:bidi="ar"/>
              </w:rPr>
              <w:t>3</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1C3A2030">
            <w:pPr>
              <w:spacing w:line="320" w:lineRule="exact"/>
              <w:jc w:val="center"/>
              <w:rPr>
                <w:color w:val="auto"/>
                <w:kern w:val="0"/>
                <w:sz w:val="21"/>
                <w:szCs w:val="21"/>
              </w:rPr>
            </w:pPr>
            <w:r>
              <w:rPr>
                <w:color w:val="auto"/>
                <w:kern w:val="0"/>
                <w:sz w:val="21"/>
                <w:szCs w:val="21"/>
                <w:lang w:bidi="ar"/>
              </w:rPr>
              <w:t>0.010</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12459C91">
            <w:pPr>
              <w:spacing w:line="320" w:lineRule="exact"/>
              <w:jc w:val="center"/>
              <w:rPr>
                <w:color w:val="auto"/>
                <w:kern w:val="0"/>
                <w:sz w:val="21"/>
                <w:szCs w:val="21"/>
              </w:rPr>
            </w:pPr>
            <w:r>
              <w:rPr>
                <w:color w:val="auto"/>
                <w:kern w:val="0"/>
                <w:sz w:val="21"/>
                <w:szCs w:val="21"/>
                <w:lang w:bidi="ar"/>
              </w:rPr>
              <w:t>0.160</w:t>
            </w:r>
          </w:p>
        </w:tc>
      </w:tr>
      <w:tr w14:paraId="230F2F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33FB5BC2">
            <w:pPr>
              <w:spacing w:line="320" w:lineRule="exact"/>
              <w:jc w:val="center"/>
              <w:rPr>
                <w:color w:val="auto"/>
                <w:kern w:val="0"/>
                <w:sz w:val="21"/>
                <w:szCs w:val="21"/>
              </w:rPr>
            </w:pPr>
            <w:r>
              <w:rPr>
                <w:color w:val="auto"/>
                <w:kern w:val="0"/>
                <w:sz w:val="21"/>
                <w:szCs w:val="21"/>
                <w:lang w:bidi="ar"/>
              </w:rPr>
              <w:t>4</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67910E63">
            <w:pPr>
              <w:spacing w:line="320" w:lineRule="exact"/>
              <w:jc w:val="center"/>
              <w:rPr>
                <w:color w:val="auto"/>
                <w:kern w:val="0"/>
                <w:sz w:val="21"/>
                <w:szCs w:val="21"/>
              </w:rPr>
            </w:pPr>
            <w:r>
              <w:rPr>
                <w:color w:val="auto"/>
                <w:kern w:val="0"/>
                <w:sz w:val="21"/>
                <w:szCs w:val="21"/>
                <w:lang w:bidi="ar"/>
              </w:rPr>
              <w:t>0.016</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5879C26D">
            <w:pPr>
              <w:spacing w:line="320" w:lineRule="exact"/>
              <w:jc w:val="center"/>
              <w:rPr>
                <w:color w:val="auto"/>
                <w:kern w:val="0"/>
                <w:sz w:val="21"/>
                <w:szCs w:val="21"/>
              </w:rPr>
            </w:pPr>
            <w:r>
              <w:rPr>
                <w:color w:val="auto"/>
                <w:kern w:val="0"/>
                <w:sz w:val="21"/>
                <w:szCs w:val="21"/>
                <w:lang w:bidi="ar"/>
              </w:rPr>
              <w:t>0.260</w:t>
            </w:r>
          </w:p>
        </w:tc>
      </w:tr>
      <w:tr w14:paraId="01F96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0DCD5211">
            <w:pPr>
              <w:spacing w:line="320" w:lineRule="exact"/>
              <w:jc w:val="center"/>
              <w:rPr>
                <w:color w:val="auto"/>
                <w:kern w:val="0"/>
                <w:sz w:val="21"/>
                <w:szCs w:val="21"/>
              </w:rPr>
            </w:pPr>
            <w:r>
              <w:rPr>
                <w:color w:val="auto"/>
                <w:kern w:val="0"/>
                <w:sz w:val="21"/>
                <w:szCs w:val="21"/>
                <w:lang w:bidi="ar"/>
              </w:rPr>
              <w:t>5</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475BD30A">
            <w:pPr>
              <w:spacing w:line="320" w:lineRule="exact"/>
              <w:jc w:val="center"/>
              <w:rPr>
                <w:color w:val="auto"/>
                <w:kern w:val="0"/>
                <w:sz w:val="21"/>
                <w:szCs w:val="21"/>
              </w:rPr>
            </w:pPr>
            <w:r>
              <w:rPr>
                <w:color w:val="auto"/>
                <w:kern w:val="0"/>
                <w:sz w:val="21"/>
                <w:szCs w:val="21"/>
                <w:lang w:bidi="ar"/>
              </w:rPr>
              <w:t>0.029</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005129E9">
            <w:pPr>
              <w:spacing w:line="320" w:lineRule="exact"/>
              <w:jc w:val="center"/>
              <w:rPr>
                <w:color w:val="auto"/>
                <w:kern w:val="0"/>
                <w:sz w:val="21"/>
                <w:szCs w:val="21"/>
              </w:rPr>
            </w:pPr>
            <w:r>
              <w:rPr>
                <w:color w:val="auto"/>
                <w:kern w:val="0"/>
                <w:sz w:val="21"/>
                <w:szCs w:val="21"/>
                <w:lang w:bidi="ar"/>
              </w:rPr>
              <w:t>0.471</w:t>
            </w:r>
          </w:p>
        </w:tc>
      </w:tr>
      <w:tr w14:paraId="0A0D8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2219B20D">
            <w:pPr>
              <w:spacing w:line="320" w:lineRule="exact"/>
              <w:jc w:val="center"/>
              <w:rPr>
                <w:color w:val="auto"/>
                <w:kern w:val="0"/>
                <w:sz w:val="21"/>
                <w:szCs w:val="21"/>
              </w:rPr>
            </w:pPr>
            <w:r>
              <w:rPr>
                <w:color w:val="auto"/>
                <w:kern w:val="0"/>
                <w:sz w:val="21"/>
                <w:szCs w:val="21"/>
                <w:lang w:bidi="ar"/>
              </w:rPr>
              <w:t>6</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48487FC3">
            <w:pPr>
              <w:spacing w:line="320" w:lineRule="exact"/>
              <w:jc w:val="center"/>
              <w:rPr>
                <w:color w:val="auto"/>
                <w:kern w:val="0"/>
                <w:sz w:val="21"/>
                <w:szCs w:val="21"/>
              </w:rPr>
            </w:pPr>
            <w:r>
              <w:rPr>
                <w:color w:val="auto"/>
                <w:kern w:val="0"/>
                <w:sz w:val="21"/>
                <w:szCs w:val="21"/>
                <w:lang w:bidi="ar"/>
              </w:rPr>
              <w:t>0.063</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5B461C2D">
            <w:pPr>
              <w:spacing w:line="320" w:lineRule="exact"/>
              <w:jc w:val="center"/>
              <w:rPr>
                <w:color w:val="auto"/>
                <w:kern w:val="0"/>
                <w:sz w:val="21"/>
                <w:szCs w:val="21"/>
              </w:rPr>
            </w:pPr>
            <w:r>
              <w:rPr>
                <w:color w:val="auto"/>
                <w:kern w:val="0"/>
                <w:sz w:val="21"/>
                <w:szCs w:val="21"/>
                <w:lang w:bidi="ar"/>
              </w:rPr>
              <w:t>1.022</w:t>
            </w:r>
          </w:p>
        </w:tc>
      </w:tr>
      <w:tr w14:paraId="53E250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33C85182">
            <w:pPr>
              <w:spacing w:line="320" w:lineRule="exact"/>
              <w:jc w:val="center"/>
              <w:rPr>
                <w:color w:val="auto"/>
                <w:kern w:val="0"/>
                <w:sz w:val="21"/>
                <w:szCs w:val="21"/>
              </w:rPr>
            </w:pPr>
            <w:r>
              <w:rPr>
                <w:color w:val="auto"/>
                <w:kern w:val="0"/>
                <w:sz w:val="21"/>
                <w:szCs w:val="21"/>
                <w:lang w:bidi="ar"/>
              </w:rPr>
              <w:t>7</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46CA2D30">
            <w:pPr>
              <w:spacing w:line="320" w:lineRule="exact"/>
              <w:jc w:val="center"/>
              <w:rPr>
                <w:color w:val="auto"/>
                <w:kern w:val="0"/>
                <w:sz w:val="21"/>
                <w:szCs w:val="21"/>
              </w:rPr>
            </w:pPr>
            <w:r>
              <w:rPr>
                <w:color w:val="auto"/>
                <w:kern w:val="0"/>
                <w:sz w:val="21"/>
                <w:szCs w:val="21"/>
                <w:lang w:bidi="ar"/>
              </w:rPr>
              <w:t>0.056</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21F743EC">
            <w:pPr>
              <w:spacing w:line="320" w:lineRule="exact"/>
              <w:jc w:val="center"/>
              <w:rPr>
                <w:color w:val="auto"/>
                <w:kern w:val="0"/>
                <w:sz w:val="21"/>
                <w:szCs w:val="21"/>
              </w:rPr>
            </w:pPr>
            <w:r>
              <w:rPr>
                <w:color w:val="auto"/>
                <w:kern w:val="0"/>
                <w:sz w:val="21"/>
                <w:szCs w:val="21"/>
                <w:lang w:bidi="ar"/>
              </w:rPr>
              <w:t>0.902</w:t>
            </w:r>
          </w:p>
        </w:tc>
      </w:tr>
      <w:tr w14:paraId="3A660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6A864415">
            <w:pPr>
              <w:spacing w:line="320" w:lineRule="exact"/>
              <w:jc w:val="center"/>
              <w:rPr>
                <w:color w:val="auto"/>
                <w:kern w:val="0"/>
                <w:sz w:val="21"/>
                <w:szCs w:val="21"/>
              </w:rPr>
            </w:pPr>
            <w:r>
              <w:rPr>
                <w:color w:val="auto"/>
                <w:kern w:val="0"/>
                <w:sz w:val="21"/>
                <w:szCs w:val="21"/>
                <w:lang w:bidi="ar"/>
              </w:rPr>
              <w:t>8</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2BC620EF">
            <w:pPr>
              <w:spacing w:line="320" w:lineRule="exact"/>
              <w:jc w:val="center"/>
              <w:rPr>
                <w:color w:val="auto"/>
                <w:kern w:val="0"/>
                <w:sz w:val="21"/>
                <w:szCs w:val="21"/>
              </w:rPr>
            </w:pPr>
            <w:r>
              <w:rPr>
                <w:color w:val="auto"/>
                <w:kern w:val="0"/>
                <w:sz w:val="21"/>
                <w:szCs w:val="21"/>
                <w:lang w:bidi="ar"/>
              </w:rPr>
              <w:t>0.065</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772CA531">
            <w:pPr>
              <w:spacing w:line="320" w:lineRule="exact"/>
              <w:jc w:val="center"/>
              <w:rPr>
                <w:color w:val="auto"/>
                <w:kern w:val="0"/>
                <w:sz w:val="21"/>
                <w:szCs w:val="21"/>
              </w:rPr>
            </w:pPr>
            <w:r>
              <w:rPr>
                <w:color w:val="auto"/>
                <w:kern w:val="0"/>
                <w:sz w:val="21"/>
                <w:szCs w:val="21"/>
                <w:lang w:bidi="ar"/>
              </w:rPr>
              <w:t>1.053</w:t>
            </w:r>
          </w:p>
        </w:tc>
      </w:tr>
      <w:tr w14:paraId="2C0DEE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53A1AC52">
            <w:pPr>
              <w:spacing w:line="320" w:lineRule="exact"/>
              <w:jc w:val="center"/>
              <w:rPr>
                <w:color w:val="auto"/>
                <w:kern w:val="0"/>
                <w:sz w:val="21"/>
                <w:szCs w:val="21"/>
              </w:rPr>
            </w:pPr>
            <w:r>
              <w:rPr>
                <w:color w:val="auto"/>
                <w:kern w:val="0"/>
                <w:sz w:val="21"/>
                <w:szCs w:val="21"/>
                <w:lang w:bidi="ar"/>
              </w:rPr>
              <w:t>9</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3C975144">
            <w:pPr>
              <w:spacing w:line="320" w:lineRule="exact"/>
              <w:jc w:val="center"/>
              <w:rPr>
                <w:color w:val="auto"/>
                <w:kern w:val="0"/>
                <w:sz w:val="21"/>
                <w:szCs w:val="21"/>
              </w:rPr>
            </w:pPr>
            <w:r>
              <w:rPr>
                <w:color w:val="auto"/>
                <w:kern w:val="0"/>
                <w:sz w:val="21"/>
                <w:szCs w:val="21"/>
                <w:lang w:bidi="ar"/>
              </w:rPr>
              <w:t>0.052</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065D584A">
            <w:pPr>
              <w:spacing w:line="320" w:lineRule="exact"/>
              <w:jc w:val="center"/>
              <w:rPr>
                <w:color w:val="auto"/>
                <w:kern w:val="0"/>
                <w:sz w:val="21"/>
                <w:szCs w:val="21"/>
              </w:rPr>
            </w:pPr>
            <w:r>
              <w:rPr>
                <w:color w:val="auto"/>
                <w:kern w:val="0"/>
                <w:sz w:val="21"/>
                <w:szCs w:val="21"/>
                <w:lang w:bidi="ar"/>
              </w:rPr>
              <w:t>0.830</w:t>
            </w:r>
          </w:p>
        </w:tc>
      </w:tr>
      <w:tr w14:paraId="344A4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15C9A876">
            <w:pPr>
              <w:spacing w:line="320" w:lineRule="exact"/>
              <w:jc w:val="center"/>
              <w:rPr>
                <w:color w:val="auto"/>
                <w:kern w:val="0"/>
                <w:sz w:val="21"/>
                <w:szCs w:val="21"/>
              </w:rPr>
            </w:pPr>
            <w:r>
              <w:rPr>
                <w:color w:val="auto"/>
                <w:kern w:val="0"/>
                <w:sz w:val="21"/>
                <w:szCs w:val="21"/>
                <w:lang w:bidi="ar"/>
              </w:rPr>
              <w:t>10</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77274350">
            <w:pPr>
              <w:spacing w:line="320" w:lineRule="exact"/>
              <w:jc w:val="center"/>
              <w:rPr>
                <w:color w:val="auto"/>
                <w:kern w:val="0"/>
                <w:sz w:val="21"/>
                <w:szCs w:val="21"/>
              </w:rPr>
            </w:pPr>
            <w:r>
              <w:rPr>
                <w:color w:val="auto"/>
                <w:kern w:val="0"/>
                <w:sz w:val="21"/>
                <w:szCs w:val="21"/>
                <w:lang w:bidi="ar"/>
              </w:rPr>
              <w:t>0.020</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55A512F1">
            <w:pPr>
              <w:spacing w:line="320" w:lineRule="exact"/>
              <w:jc w:val="center"/>
              <w:rPr>
                <w:color w:val="auto"/>
                <w:kern w:val="0"/>
                <w:sz w:val="21"/>
                <w:szCs w:val="21"/>
              </w:rPr>
            </w:pPr>
            <w:r>
              <w:rPr>
                <w:color w:val="auto"/>
                <w:kern w:val="0"/>
                <w:sz w:val="21"/>
                <w:szCs w:val="21"/>
                <w:lang w:bidi="ar"/>
              </w:rPr>
              <w:t>0.317</w:t>
            </w:r>
          </w:p>
        </w:tc>
      </w:tr>
      <w:tr w14:paraId="256FBA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5A7974B9">
            <w:pPr>
              <w:spacing w:line="320" w:lineRule="exact"/>
              <w:jc w:val="center"/>
              <w:rPr>
                <w:color w:val="auto"/>
                <w:kern w:val="0"/>
                <w:sz w:val="21"/>
                <w:szCs w:val="21"/>
              </w:rPr>
            </w:pPr>
            <w:r>
              <w:rPr>
                <w:color w:val="auto"/>
                <w:kern w:val="0"/>
                <w:sz w:val="21"/>
                <w:szCs w:val="21"/>
                <w:lang w:bidi="ar"/>
              </w:rPr>
              <w:t>11</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330B7CEF">
            <w:pPr>
              <w:spacing w:line="320" w:lineRule="exact"/>
              <w:jc w:val="center"/>
              <w:rPr>
                <w:color w:val="auto"/>
                <w:kern w:val="0"/>
                <w:sz w:val="21"/>
                <w:szCs w:val="21"/>
              </w:rPr>
            </w:pPr>
            <w:r>
              <w:rPr>
                <w:color w:val="auto"/>
                <w:kern w:val="0"/>
                <w:sz w:val="21"/>
                <w:szCs w:val="21"/>
                <w:lang w:bidi="ar"/>
              </w:rPr>
              <w:t>0.009</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393CE40D">
            <w:pPr>
              <w:spacing w:line="320" w:lineRule="exact"/>
              <w:jc w:val="center"/>
              <w:rPr>
                <w:color w:val="auto"/>
                <w:kern w:val="0"/>
                <w:sz w:val="21"/>
                <w:szCs w:val="21"/>
              </w:rPr>
            </w:pPr>
            <w:r>
              <w:rPr>
                <w:color w:val="auto"/>
                <w:kern w:val="0"/>
                <w:sz w:val="21"/>
                <w:szCs w:val="21"/>
                <w:lang w:bidi="ar"/>
              </w:rPr>
              <w:t>0.152</w:t>
            </w:r>
          </w:p>
        </w:tc>
      </w:tr>
      <w:tr w14:paraId="2F156F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4" w:space="0"/>
              <w:right w:val="single" w:color="auto" w:sz="4" w:space="0"/>
            </w:tcBorders>
            <w:noWrap w:val="0"/>
            <w:vAlign w:val="bottom"/>
          </w:tcPr>
          <w:p w14:paraId="654DAD23">
            <w:pPr>
              <w:spacing w:line="320" w:lineRule="exact"/>
              <w:jc w:val="center"/>
              <w:rPr>
                <w:color w:val="auto"/>
                <w:kern w:val="0"/>
                <w:sz w:val="21"/>
                <w:szCs w:val="21"/>
              </w:rPr>
            </w:pPr>
            <w:r>
              <w:rPr>
                <w:color w:val="auto"/>
                <w:kern w:val="0"/>
                <w:sz w:val="21"/>
                <w:szCs w:val="21"/>
                <w:lang w:bidi="ar"/>
              </w:rPr>
              <w:t>12</w:t>
            </w:r>
          </w:p>
        </w:tc>
        <w:tc>
          <w:tcPr>
            <w:tcW w:w="1087" w:type="pct"/>
            <w:tcBorders>
              <w:top w:val="single" w:color="auto" w:sz="4" w:space="0"/>
              <w:left w:val="single" w:color="auto" w:sz="4" w:space="0"/>
              <w:bottom w:val="single" w:color="auto" w:sz="4" w:space="0"/>
              <w:right w:val="single" w:color="auto" w:sz="4" w:space="0"/>
            </w:tcBorders>
            <w:noWrap w:val="0"/>
            <w:vAlign w:val="center"/>
          </w:tcPr>
          <w:p w14:paraId="2D1DDB19">
            <w:pPr>
              <w:spacing w:line="320" w:lineRule="exact"/>
              <w:jc w:val="center"/>
              <w:rPr>
                <w:color w:val="auto"/>
                <w:kern w:val="0"/>
                <w:sz w:val="21"/>
                <w:szCs w:val="21"/>
              </w:rPr>
            </w:pPr>
            <w:r>
              <w:rPr>
                <w:color w:val="auto"/>
                <w:kern w:val="0"/>
                <w:sz w:val="21"/>
                <w:szCs w:val="21"/>
                <w:lang w:bidi="ar"/>
              </w:rPr>
              <w:t>0.006</w:t>
            </w:r>
          </w:p>
        </w:tc>
        <w:tc>
          <w:tcPr>
            <w:tcW w:w="1087" w:type="pct"/>
            <w:tcBorders>
              <w:top w:val="single" w:color="auto" w:sz="4" w:space="0"/>
              <w:left w:val="single" w:color="auto" w:sz="4" w:space="0"/>
              <w:bottom w:val="single" w:color="auto" w:sz="4" w:space="0"/>
              <w:right w:val="single" w:color="auto" w:sz="12" w:space="0"/>
            </w:tcBorders>
            <w:noWrap w:val="0"/>
            <w:vAlign w:val="center"/>
          </w:tcPr>
          <w:p w14:paraId="7978EFFF">
            <w:pPr>
              <w:spacing w:line="320" w:lineRule="exact"/>
              <w:jc w:val="center"/>
              <w:rPr>
                <w:color w:val="auto"/>
                <w:kern w:val="0"/>
                <w:sz w:val="21"/>
                <w:szCs w:val="21"/>
              </w:rPr>
            </w:pPr>
            <w:r>
              <w:rPr>
                <w:color w:val="auto"/>
                <w:kern w:val="0"/>
                <w:sz w:val="21"/>
                <w:szCs w:val="21"/>
                <w:lang w:bidi="ar"/>
              </w:rPr>
              <w:t>0.092</w:t>
            </w:r>
          </w:p>
        </w:tc>
      </w:tr>
      <w:tr w14:paraId="080E26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825" w:type="pct"/>
            <w:tcBorders>
              <w:top w:val="single" w:color="auto" w:sz="4" w:space="0"/>
              <w:left w:val="single" w:color="auto" w:sz="12" w:space="0"/>
              <w:bottom w:val="single" w:color="auto" w:sz="12" w:space="0"/>
              <w:right w:val="single" w:color="auto" w:sz="4" w:space="0"/>
            </w:tcBorders>
            <w:noWrap w:val="0"/>
            <w:vAlign w:val="bottom"/>
          </w:tcPr>
          <w:p w14:paraId="593A2FF4">
            <w:pPr>
              <w:spacing w:line="320" w:lineRule="exact"/>
              <w:jc w:val="center"/>
              <w:rPr>
                <w:color w:val="auto"/>
                <w:kern w:val="0"/>
                <w:sz w:val="21"/>
                <w:szCs w:val="21"/>
              </w:rPr>
            </w:pPr>
            <w:r>
              <w:rPr>
                <w:color w:val="auto"/>
                <w:kern w:val="0"/>
                <w:sz w:val="21"/>
                <w:szCs w:val="21"/>
                <w:lang w:bidi="ar"/>
              </w:rPr>
              <w:t>水文年（4-3月）</w:t>
            </w:r>
          </w:p>
        </w:tc>
        <w:tc>
          <w:tcPr>
            <w:tcW w:w="1087" w:type="pct"/>
            <w:tcBorders>
              <w:top w:val="single" w:color="auto" w:sz="4" w:space="0"/>
              <w:left w:val="single" w:color="auto" w:sz="4" w:space="0"/>
              <w:bottom w:val="single" w:color="auto" w:sz="12" w:space="0"/>
              <w:right w:val="single" w:color="auto" w:sz="4" w:space="0"/>
            </w:tcBorders>
            <w:noWrap w:val="0"/>
            <w:vAlign w:val="center"/>
          </w:tcPr>
          <w:p w14:paraId="68EDD57C">
            <w:pPr>
              <w:spacing w:line="320" w:lineRule="exact"/>
              <w:jc w:val="center"/>
              <w:rPr>
                <w:color w:val="auto"/>
                <w:kern w:val="0"/>
                <w:sz w:val="21"/>
                <w:szCs w:val="21"/>
              </w:rPr>
            </w:pPr>
            <w:r>
              <w:rPr>
                <w:color w:val="auto"/>
                <w:kern w:val="0"/>
                <w:sz w:val="21"/>
                <w:szCs w:val="21"/>
                <w:lang w:bidi="ar"/>
              </w:rPr>
              <w:t>0.028</w:t>
            </w:r>
          </w:p>
        </w:tc>
        <w:tc>
          <w:tcPr>
            <w:tcW w:w="1087" w:type="pct"/>
            <w:tcBorders>
              <w:top w:val="single" w:color="auto" w:sz="4" w:space="0"/>
              <w:left w:val="single" w:color="auto" w:sz="4" w:space="0"/>
              <w:bottom w:val="single" w:color="auto" w:sz="12" w:space="0"/>
              <w:right w:val="single" w:color="auto" w:sz="12" w:space="0"/>
            </w:tcBorders>
            <w:noWrap w:val="0"/>
            <w:vAlign w:val="center"/>
          </w:tcPr>
          <w:p w14:paraId="2BCCAD5D">
            <w:pPr>
              <w:spacing w:line="320" w:lineRule="exact"/>
              <w:jc w:val="center"/>
              <w:rPr>
                <w:color w:val="auto"/>
                <w:kern w:val="0"/>
                <w:sz w:val="21"/>
                <w:szCs w:val="21"/>
              </w:rPr>
            </w:pPr>
            <w:r>
              <w:rPr>
                <w:color w:val="auto"/>
                <w:kern w:val="0"/>
                <w:sz w:val="21"/>
                <w:szCs w:val="21"/>
                <w:lang w:bidi="ar"/>
              </w:rPr>
              <w:t>0.454</w:t>
            </w:r>
          </w:p>
        </w:tc>
      </w:tr>
    </w:tbl>
    <w:p w14:paraId="062EF97F">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rPr>
      </w:pPr>
      <w:bookmarkStart w:id="23" w:name="_Toc10044"/>
      <w:bookmarkStart w:id="24" w:name="_Toc14132"/>
      <w:bookmarkStart w:id="25" w:name="_Toc22030"/>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.5  洪水</w:t>
      </w:r>
      <w:bookmarkEnd w:id="23"/>
      <w:bookmarkEnd w:id="24"/>
      <w:bookmarkEnd w:id="25"/>
    </w:p>
    <w:p w14:paraId="647DAE70">
      <w:pPr>
        <w:spacing w:line="520" w:lineRule="exact"/>
        <w:ind w:firstLine="480" w:firstLineChars="200"/>
        <w:rPr>
          <w:color w:val="auto"/>
        </w:rPr>
      </w:pPr>
      <w:r>
        <w:rPr>
          <w:color w:val="auto"/>
          <w:lang w:bidi="ar"/>
        </w:rPr>
        <w:t>本次设计洪水计算采用设计暴雨推求洪水的方法和水文比拟法进行洪水计算，合理分析后采用水文比拟法成果。</w:t>
      </w:r>
    </w:p>
    <w:p w14:paraId="65AD4ECB">
      <w:pPr>
        <w:spacing w:line="360" w:lineRule="auto"/>
        <w:ind w:firstLine="480" w:firstLineChars="200"/>
        <w:jc w:val="center"/>
        <w:rPr>
          <w:rFonts w:ascii="黑体" w:hAnsi="宋体" w:eastAsia="黑体" w:cs="黑体"/>
          <w:color w:val="auto"/>
          <w:szCs w:val="21"/>
          <w:lang w:bidi="ar"/>
        </w:rPr>
      </w:pPr>
      <w:r>
        <w:rPr>
          <w:rFonts w:ascii="黑体" w:hAnsi="宋体" w:eastAsia="黑体" w:cs="黑体"/>
          <w:color w:val="auto"/>
          <w:szCs w:val="21"/>
          <w:lang w:bidi="ar"/>
        </w:rPr>
        <w:t>坝址设计洪水成果表</w:t>
      </w:r>
    </w:p>
    <w:p w14:paraId="788B6E83">
      <w:pPr>
        <w:pBdr>
          <w:bottom w:val="none" w:color="000000" w:sz="0" w:space="0"/>
        </w:pBdr>
        <w:tabs>
          <w:tab w:val="center" w:pos="4153"/>
          <w:tab w:val="right" w:pos="8306"/>
        </w:tabs>
        <w:snapToGrid w:val="0"/>
        <w:spacing w:line="520" w:lineRule="exact"/>
        <w:jc w:val="left"/>
        <w:rPr>
          <w:color w:val="auto"/>
          <w:sz w:val="21"/>
          <w:szCs w:val="21"/>
        </w:rPr>
      </w:pPr>
      <w:r>
        <w:rPr>
          <w:color w:val="auto"/>
          <w:sz w:val="21"/>
          <w:szCs w:val="21"/>
          <w:lang w:bidi="ar"/>
        </w:rPr>
        <w:t>表2                                                      单位：m³/s；万m³</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774"/>
        <w:gridCol w:w="839"/>
        <w:gridCol w:w="839"/>
        <w:gridCol w:w="839"/>
        <w:gridCol w:w="839"/>
        <w:gridCol w:w="839"/>
        <w:gridCol w:w="839"/>
        <w:gridCol w:w="839"/>
        <w:gridCol w:w="846"/>
      </w:tblGrid>
      <w:tr w14:paraId="4270F8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blHeader/>
        </w:trPr>
        <w:tc>
          <w:tcPr>
            <w:tcW w:w="604" w:type="pct"/>
            <w:vMerge w:val="restart"/>
            <w:tcBorders>
              <w:top w:val="single" w:color="auto" w:sz="12" w:space="0"/>
              <w:left w:val="single" w:color="auto" w:sz="12" w:space="0"/>
              <w:bottom w:val="single" w:color="auto" w:sz="4" w:space="0"/>
              <w:right w:val="single" w:color="auto" w:sz="4" w:space="0"/>
            </w:tcBorders>
            <w:noWrap w:val="0"/>
            <w:vAlign w:val="center"/>
          </w:tcPr>
          <w:p w14:paraId="364973E3">
            <w:pPr>
              <w:widowControl/>
              <w:jc w:val="center"/>
              <w:rPr>
                <w:color w:val="auto"/>
                <w:kern w:val="0"/>
                <w:sz w:val="21"/>
                <w:szCs w:val="21"/>
              </w:rPr>
            </w:pPr>
            <w:r>
              <w:rPr>
                <w:color w:val="auto"/>
                <w:kern w:val="0"/>
                <w:sz w:val="21"/>
                <w:szCs w:val="21"/>
                <w:lang w:bidi="ar"/>
              </w:rPr>
              <w:t>坝址</w:t>
            </w:r>
          </w:p>
        </w:tc>
        <w:tc>
          <w:tcPr>
            <w:tcW w:w="454" w:type="pct"/>
            <w:vMerge w:val="restart"/>
            <w:tcBorders>
              <w:top w:val="single" w:color="auto" w:sz="12" w:space="0"/>
              <w:left w:val="single" w:color="auto" w:sz="4" w:space="0"/>
              <w:bottom w:val="single" w:color="auto" w:sz="4" w:space="0"/>
              <w:right w:val="single" w:color="auto" w:sz="4" w:space="0"/>
            </w:tcBorders>
            <w:noWrap/>
            <w:vAlign w:val="center"/>
          </w:tcPr>
          <w:p w14:paraId="771F261C">
            <w:pPr>
              <w:widowControl/>
              <w:jc w:val="center"/>
              <w:rPr>
                <w:color w:val="auto"/>
                <w:kern w:val="0"/>
                <w:sz w:val="21"/>
                <w:szCs w:val="21"/>
              </w:rPr>
            </w:pPr>
            <w:r>
              <w:rPr>
                <w:color w:val="auto"/>
                <w:kern w:val="0"/>
                <w:sz w:val="21"/>
                <w:szCs w:val="21"/>
                <w:lang w:bidi="ar"/>
              </w:rPr>
              <w:t>项目</w:t>
            </w:r>
          </w:p>
        </w:tc>
        <w:tc>
          <w:tcPr>
            <w:tcW w:w="3940" w:type="pct"/>
            <w:gridSpan w:val="8"/>
            <w:tcBorders>
              <w:top w:val="single" w:color="auto" w:sz="12" w:space="0"/>
              <w:left w:val="single" w:color="auto" w:sz="4" w:space="0"/>
              <w:bottom w:val="single" w:color="auto" w:sz="4" w:space="0"/>
              <w:right w:val="single" w:color="auto" w:sz="12" w:space="0"/>
            </w:tcBorders>
            <w:noWrap/>
            <w:vAlign w:val="center"/>
          </w:tcPr>
          <w:p w14:paraId="68EE4E4A">
            <w:pPr>
              <w:widowControl/>
              <w:jc w:val="center"/>
              <w:rPr>
                <w:color w:val="auto"/>
                <w:kern w:val="0"/>
                <w:sz w:val="21"/>
                <w:szCs w:val="21"/>
              </w:rPr>
            </w:pPr>
            <w:r>
              <w:rPr>
                <w:color w:val="auto"/>
                <w:kern w:val="0"/>
                <w:sz w:val="21"/>
                <w:szCs w:val="21"/>
                <w:lang w:bidi="ar"/>
              </w:rPr>
              <w:t>P(%)</w:t>
            </w:r>
          </w:p>
        </w:tc>
      </w:tr>
      <w:tr w14:paraId="75B687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blHeader/>
        </w:trPr>
        <w:tc>
          <w:tcPr>
            <w:tcW w:w="604" w:type="pct"/>
            <w:vMerge w:val="continue"/>
            <w:tcBorders>
              <w:top w:val="single" w:color="auto" w:sz="12" w:space="0"/>
              <w:left w:val="single" w:color="auto" w:sz="12" w:space="0"/>
              <w:bottom w:val="single" w:color="auto" w:sz="4" w:space="0"/>
              <w:right w:val="single" w:color="auto" w:sz="4" w:space="0"/>
            </w:tcBorders>
            <w:noWrap w:val="0"/>
            <w:vAlign w:val="center"/>
          </w:tcPr>
          <w:p w14:paraId="27DFC317">
            <w:pPr>
              <w:rPr>
                <w:color w:val="auto"/>
                <w:sz w:val="20"/>
                <w:szCs w:val="20"/>
              </w:rPr>
            </w:pPr>
          </w:p>
        </w:tc>
        <w:tc>
          <w:tcPr>
            <w:tcW w:w="454" w:type="pct"/>
            <w:vMerge w:val="continue"/>
            <w:tcBorders>
              <w:top w:val="single" w:color="auto" w:sz="12" w:space="0"/>
              <w:left w:val="single" w:color="auto" w:sz="4" w:space="0"/>
              <w:bottom w:val="single" w:color="auto" w:sz="4" w:space="0"/>
              <w:right w:val="single" w:color="auto" w:sz="4" w:space="0"/>
            </w:tcBorders>
            <w:noWrap/>
            <w:vAlign w:val="center"/>
          </w:tcPr>
          <w:p w14:paraId="2E2F7622">
            <w:pPr>
              <w:rPr>
                <w:color w:val="auto"/>
                <w:sz w:val="20"/>
                <w:szCs w:val="20"/>
              </w:rPr>
            </w:pPr>
          </w:p>
        </w:tc>
        <w:tc>
          <w:tcPr>
            <w:tcW w:w="492" w:type="pct"/>
            <w:tcBorders>
              <w:top w:val="single" w:color="auto" w:sz="4" w:space="0"/>
              <w:left w:val="single" w:color="auto" w:sz="4" w:space="0"/>
              <w:bottom w:val="single" w:color="auto" w:sz="4" w:space="0"/>
              <w:right w:val="single" w:color="auto" w:sz="4" w:space="0"/>
            </w:tcBorders>
            <w:noWrap/>
            <w:vAlign w:val="center"/>
          </w:tcPr>
          <w:p w14:paraId="243DBC43">
            <w:pPr>
              <w:widowControl/>
              <w:jc w:val="center"/>
              <w:rPr>
                <w:color w:val="auto"/>
                <w:kern w:val="0"/>
                <w:sz w:val="21"/>
                <w:szCs w:val="21"/>
              </w:rPr>
            </w:pPr>
            <w:r>
              <w:rPr>
                <w:color w:val="auto"/>
                <w:kern w:val="0"/>
                <w:sz w:val="21"/>
                <w:szCs w:val="21"/>
                <w:lang w:bidi="ar"/>
              </w:rPr>
              <w:t>0.05</w:t>
            </w:r>
          </w:p>
        </w:tc>
        <w:tc>
          <w:tcPr>
            <w:tcW w:w="492" w:type="pct"/>
            <w:tcBorders>
              <w:top w:val="single" w:color="auto" w:sz="4" w:space="0"/>
              <w:left w:val="single" w:color="auto" w:sz="4" w:space="0"/>
              <w:bottom w:val="single" w:color="auto" w:sz="4" w:space="0"/>
              <w:right w:val="single" w:color="auto" w:sz="4" w:space="0"/>
            </w:tcBorders>
            <w:noWrap/>
            <w:vAlign w:val="center"/>
          </w:tcPr>
          <w:p w14:paraId="44D42463">
            <w:pPr>
              <w:widowControl/>
              <w:jc w:val="center"/>
              <w:rPr>
                <w:color w:val="auto"/>
                <w:kern w:val="0"/>
                <w:sz w:val="21"/>
                <w:szCs w:val="21"/>
              </w:rPr>
            </w:pPr>
            <w:r>
              <w:rPr>
                <w:color w:val="auto"/>
                <w:kern w:val="0"/>
                <w:sz w:val="21"/>
                <w:szCs w:val="21"/>
                <w:lang w:bidi="ar"/>
              </w:rPr>
              <w:t>0.1</w:t>
            </w:r>
          </w:p>
        </w:tc>
        <w:tc>
          <w:tcPr>
            <w:tcW w:w="492" w:type="pct"/>
            <w:tcBorders>
              <w:top w:val="single" w:color="auto" w:sz="4" w:space="0"/>
              <w:left w:val="single" w:color="auto" w:sz="4" w:space="0"/>
              <w:bottom w:val="single" w:color="auto" w:sz="4" w:space="0"/>
              <w:right w:val="single" w:color="auto" w:sz="4" w:space="0"/>
            </w:tcBorders>
            <w:noWrap/>
            <w:vAlign w:val="center"/>
          </w:tcPr>
          <w:p w14:paraId="28FC7520">
            <w:pPr>
              <w:widowControl/>
              <w:jc w:val="center"/>
              <w:rPr>
                <w:color w:val="auto"/>
                <w:kern w:val="0"/>
                <w:sz w:val="21"/>
                <w:szCs w:val="21"/>
              </w:rPr>
            </w:pPr>
            <w:r>
              <w:rPr>
                <w:color w:val="auto"/>
                <w:kern w:val="0"/>
                <w:sz w:val="21"/>
                <w:szCs w:val="21"/>
                <w:lang w:bidi="ar"/>
              </w:rPr>
              <w:t>0.5</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4F4ED150">
            <w:pPr>
              <w:widowControl/>
              <w:jc w:val="center"/>
              <w:rPr>
                <w:color w:val="auto"/>
                <w:kern w:val="0"/>
                <w:sz w:val="21"/>
                <w:szCs w:val="21"/>
              </w:rPr>
            </w:pPr>
            <w:r>
              <w:rPr>
                <w:color w:val="auto"/>
                <w:kern w:val="0"/>
                <w:sz w:val="21"/>
                <w:szCs w:val="21"/>
                <w:lang w:bidi="ar"/>
              </w:rPr>
              <w:t>1</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64A037F5">
            <w:pPr>
              <w:widowControl/>
              <w:jc w:val="center"/>
              <w:rPr>
                <w:color w:val="auto"/>
                <w:kern w:val="0"/>
                <w:sz w:val="21"/>
                <w:szCs w:val="21"/>
              </w:rPr>
            </w:pPr>
            <w:r>
              <w:rPr>
                <w:color w:val="auto"/>
                <w:kern w:val="0"/>
                <w:sz w:val="21"/>
                <w:szCs w:val="21"/>
                <w:lang w:bidi="ar"/>
              </w:rPr>
              <w:t>2</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77B52CFD">
            <w:pPr>
              <w:widowControl/>
              <w:jc w:val="center"/>
              <w:rPr>
                <w:color w:val="auto"/>
                <w:kern w:val="0"/>
                <w:sz w:val="21"/>
                <w:szCs w:val="21"/>
              </w:rPr>
            </w:pPr>
            <w:r>
              <w:rPr>
                <w:color w:val="auto"/>
                <w:kern w:val="0"/>
                <w:sz w:val="21"/>
                <w:szCs w:val="21"/>
                <w:lang w:bidi="ar"/>
              </w:rPr>
              <w:t>5</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112C2492">
            <w:pPr>
              <w:widowControl/>
              <w:jc w:val="center"/>
              <w:rPr>
                <w:color w:val="auto"/>
                <w:kern w:val="0"/>
                <w:sz w:val="21"/>
                <w:szCs w:val="21"/>
              </w:rPr>
            </w:pPr>
            <w:r>
              <w:rPr>
                <w:color w:val="auto"/>
                <w:kern w:val="0"/>
                <w:sz w:val="21"/>
                <w:szCs w:val="21"/>
                <w:lang w:bidi="ar"/>
              </w:rPr>
              <w:t>10</w:t>
            </w:r>
          </w:p>
        </w:tc>
        <w:tc>
          <w:tcPr>
            <w:tcW w:w="495" w:type="pct"/>
            <w:tcBorders>
              <w:top w:val="single" w:color="auto" w:sz="4" w:space="0"/>
              <w:left w:val="single" w:color="auto" w:sz="4" w:space="0"/>
              <w:bottom w:val="single" w:color="auto" w:sz="4" w:space="0"/>
              <w:right w:val="single" w:color="auto" w:sz="12" w:space="0"/>
            </w:tcBorders>
            <w:noWrap w:val="0"/>
            <w:vAlign w:val="top"/>
          </w:tcPr>
          <w:p w14:paraId="62F3F11D">
            <w:pPr>
              <w:widowControl/>
              <w:jc w:val="center"/>
              <w:rPr>
                <w:color w:val="auto"/>
                <w:kern w:val="0"/>
                <w:sz w:val="21"/>
                <w:szCs w:val="21"/>
              </w:rPr>
            </w:pPr>
            <w:r>
              <w:rPr>
                <w:color w:val="auto"/>
                <w:kern w:val="0"/>
                <w:sz w:val="21"/>
                <w:szCs w:val="21"/>
                <w:lang w:bidi="ar"/>
              </w:rPr>
              <w:t>20</w:t>
            </w:r>
          </w:p>
        </w:tc>
      </w:tr>
      <w:tr w14:paraId="01B20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604" w:type="pct"/>
            <w:vMerge w:val="restart"/>
            <w:tcBorders>
              <w:top w:val="single" w:color="auto" w:sz="4" w:space="0"/>
              <w:left w:val="single" w:color="auto" w:sz="12" w:space="0"/>
              <w:bottom w:val="single" w:color="auto" w:sz="4" w:space="0"/>
              <w:right w:val="single" w:color="auto" w:sz="4" w:space="0"/>
            </w:tcBorders>
            <w:noWrap w:val="0"/>
            <w:vAlign w:val="center"/>
          </w:tcPr>
          <w:p w14:paraId="0053C41C">
            <w:pPr>
              <w:widowControl/>
              <w:jc w:val="center"/>
              <w:rPr>
                <w:color w:val="auto"/>
                <w:kern w:val="0"/>
                <w:sz w:val="21"/>
                <w:szCs w:val="21"/>
              </w:rPr>
            </w:pPr>
            <w:r>
              <w:rPr>
                <w:color w:val="auto"/>
                <w:kern w:val="0"/>
                <w:sz w:val="21"/>
                <w:szCs w:val="21"/>
                <w:lang w:bidi="ar"/>
              </w:rPr>
              <w:t>上水库</w:t>
            </w:r>
          </w:p>
        </w:tc>
        <w:tc>
          <w:tcPr>
            <w:tcW w:w="454" w:type="pct"/>
            <w:tcBorders>
              <w:top w:val="single" w:color="auto" w:sz="4" w:space="0"/>
              <w:left w:val="single" w:color="auto" w:sz="4" w:space="0"/>
              <w:bottom w:val="single" w:color="auto" w:sz="4" w:space="0"/>
              <w:right w:val="single" w:color="auto" w:sz="4" w:space="0"/>
            </w:tcBorders>
            <w:noWrap/>
            <w:vAlign w:val="center"/>
          </w:tcPr>
          <w:p w14:paraId="7B76C4AB">
            <w:pPr>
              <w:widowControl/>
              <w:jc w:val="center"/>
              <w:rPr>
                <w:color w:val="auto"/>
                <w:kern w:val="0"/>
                <w:sz w:val="21"/>
                <w:szCs w:val="21"/>
              </w:rPr>
            </w:pPr>
            <w:r>
              <w:rPr>
                <w:color w:val="auto"/>
                <w:sz w:val="21"/>
                <w:szCs w:val="21"/>
                <w:lang w:bidi="ar"/>
              </w:rPr>
              <w:t>Qm</w:t>
            </w:r>
          </w:p>
        </w:tc>
        <w:tc>
          <w:tcPr>
            <w:tcW w:w="492" w:type="pct"/>
            <w:tcBorders>
              <w:top w:val="single" w:color="auto" w:sz="4" w:space="0"/>
              <w:left w:val="single" w:color="auto" w:sz="4" w:space="0"/>
              <w:bottom w:val="single" w:color="auto" w:sz="4" w:space="0"/>
              <w:right w:val="single" w:color="auto" w:sz="4" w:space="0"/>
            </w:tcBorders>
            <w:noWrap/>
            <w:vAlign w:val="center"/>
          </w:tcPr>
          <w:p w14:paraId="4F36EF1F">
            <w:pPr>
              <w:jc w:val="center"/>
              <w:rPr>
                <w:bCs/>
                <w:color w:val="auto"/>
                <w:sz w:val="21"/>
                <w:szCs w:val="21"/>
              </w:rPr>
            </w:pPr>
            <w:r>
              <w:rPr>
                <w:bCs/>
                <w:color w:val="auto"/>
                <w:sz w:val="21"/>
                <w:szCs w:val="21"/>
                <w:lang w:bidi="ar"/>
              </w:rPr>
              <w:t>99.2</w:t>
            </w:r>
          </w:p>
        </w:tc>
        <w:tc>
          <w:tcPr>
            <w:tcW w:w="492" w:type="pct"/>
            <w:tcBorders>
              <w:top w:val="single" w:color="auto" w:sz="4" w:space="0"/>
              <w:left w:val="single" w:color="auto" w:sz="4" w:space="0"/>
              <w:bottom w:val="single" w:color="auto" w:sz="4" w:space="0"/>
              <w:right w:val="single" w:color="auto" w:sz="4" w:space="0"/>
            </w:tcBorders>
            <w:noWrap/>
            <w:vAlign w:val="center"/>
          </w:tcPr>
          <w:p w14:paraId="1D9F7F77">
            <w:pPr>
              <w:jc w:val="center"/>
              <w:rPr>
                <w:bCs/>
                <w:color w:val="auto"/>
                <w:sz w:val="21"/>
                <w:szCs w:val="21"/>
              </w:rPr>
            </w:pPr>
            <w:r>
              <w:rPr>
                <w:bCs/>
                <w:color w:val="auto"/>
                <w:sz w:val="21"/>
                <w:szCs w:val="21"/>
                <w:lang w:bidi="ar"/>
              </w:rPr>
              <w:t>89.6</w:t>
            </w:r>
          </w:p>
        </w:tc>
        <w:tc>
          <w:tcPr>
            <w:tcW w:w="492" w:type="pct"/>
            <w:tcBorders>
              <w:top w:val="single" w:color="auto" w:sz="4" w:space="0"/>
              <w:left w:val="single" w:color="auto" w:sz="4" w:space="0"/>
              <w:bottom w:val="single" w:color="auto" w:sz="4" w:space="0"/>
              <w:right w:val="single" w:color="auto" w:sz="4" w:space="0"/>
            </w:tcBorders>
            <w:noWrap/>
            <w:vAlign w:val="center"/>
          </w:tcPr>
          <w:p w14:paraId="7B3EE634">
            <w:pPr>
              <w:jc w:val="center"/>
              <w:rPr>
                <w:bCs/>
                <w:color w:val="auto"/>
                <w:sz w:val="21"/>
                <w:szCs w:val="21"/>
              </w:rPr>
            </w:pPr>
            <w:r>
              <w:rPr>
                <w:bCs/>
                <w:color w:val="auto"/>
                <w:sz w:val="21"/>
                <w:szCs w:val="21"/>
                <w:lang w:bidi="ar"/>
              </w:rPr>
              <w:t>67.6</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092D0982">
            <w:pPr>
              <w:jc w:val="center"/>
              <w:rPr>
                <w:bCs/>
                <w:color w:val="auto"/>
                <w:sz w:val="21"/>
                <w:szCs w:val="21"/>
              </w:rPr>
            </w:pPr>
            <w:r>
              <w:rPr>
                <w:bCs/>
                <w:color w:val="auto"/>
                <w:sz w:val="21"/>
                <w:szCs w:val="21"/>
                <w:lang w:bidi="ar"/>
              </w:rPr>
              <w:t>58.1</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11A92D96">
            <w:pPr>
              <w:jc w:val="center"/>
              <w:rPr>
                <w:bCs/>
                <w:color w:val="auto"/>
                <w:sz w:val="21"/>
                <w:szCs w:val="21"/>
              </w:rPr>
            </w:pPr>
            <w:r>
              <w:rPr>
                <w:bCs/>
                <w:color w:val="auto"/>
                <w:sz w:val="21"/>
                <w:szCs w:val="21"/>
                <w:lang w:bidi="ar"/>
              </w:rPr>
              <w:t>48.8</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7586DA62">
            <w:pPr>
              <w:jc w:val="center"/>
              <w:rPr>
                <w:bCs/>
                <w:color w:val="auto"/>
                <w:sz w:val="21"/>
                <w:szCs w:val="21"/>
              </w:rPr>
            </w:pPr>
            <w:r>
              <w:rPr>
                <w:bCs/>
                <w:color w:val="auto"/>
                <w:sz w:val="21"/>
                <w:szCs w:val="21"/>
                <w:lang w:bidi="ar"/>
              </w:rPr>
              <w:t>36.7</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653BB570">
            <w:pPr>
              <w:jc w:val="center"/>
              <w:rPr>
                <w:bCs/>
                <w:color w:val="auto"/>
                <w:sz w:val="21"/>
                <w:szCs w:val="21"/>
              </w:rPr>
            </w:pPr>
            <w:r>
              <w:rPr>
                <w:bCs/>
                <w:color w:val="auto"/>
                <w:sz w:val="21"/>
                <w:szCs w:val="21"/>
                <w:lang w:bidi="ar"/>
              </w:rPr>
              <w:t>27.7</w:t>
            </w:r>
          </w:p>
        </w:tc>
        <w:tc>
          <w:tcPr>
            <w:tcW w:w="495" w:type="pct"/>
            <w:tcBorders>
              <w:top w:val="single" w:color="auto" w:sz="4" w:space="0"/>
              <w:left w:val="single" w:color="auto" w:sz="4" w:space="0"/>
              <w:bottom w:val="single" w:color="auto" w:sz="4" w:space="0"/>
              <w:right w:val="single" w:color="auto" w:sz="12" w:space="0"/>
            </w:tcBorders>
            <w:noWrap w:val="0"/>
            <w:vAlign w:val="center"/>
          </w:tcPr>
          <w:p w14:paraId="66349406">
            <w:pPr>
              <w:jc w:val="center"/>
              <w:rPr>
                <w:bCs/>
                <w:color w:val="auto"/>
                <w:sz w:val="21"/>
                <w:szCs w:val="21"/>
              </w:rPr>
            </w:pPr>
            <w:r>
              <w:rPr>
                <w:bCs/>
                <w:color w:val="auto"/>
                <w:sz w:val="21"/>
                <w:szCs w:val="21"/>
                <w:lang w:bidi="ar"/>
              </w:rPr>
              <w:t>19.0</w:t>
            </w:r>
          </w:p>
        </w:tc>
      </w:tr>
      <w:tr w14:paraId="5FDEC0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604" w:type="pct"/>
            <w:vMerge w:val="continue"/>
            <w:tcBorders>
              <w:top w:val="single" w:color="auto" w:sz="4" w:space="0"/>
              <w:left w:val="single" w:color="auto" w:sz="12" w:space="0"/>
              <w:bottom w:val="single" w:color="auto" w:sz="4" w:space="0"/>
              <w:right w:val="single" w:color="auto" w:sz="4" w:space="0"/>
            </w:tcBorders>
            <w:noWrap w:val="0"/>
            <w:vAlign w:val="center"/>
          </w:tcPr>
          <w:p w14:paraId="09E5DF09">
            <w:pPr>
              <w:rPr>
                <w:color w:val="auto"/>
                <w:sz w:val="20"/>
                <w:szCs w:val="20"/>
              </w:rPr>
            </w:pPr>
          </w:p>
        </w:tc>
        <w:tc>
          <w:tcPr>
            <w:tcW w:w="454" w:type="pct"/>
            <w:tcBorders>
              <w:top w:val="single" w:color="auto" w:sz="4" w:space="0"/>
              <w:left w:val="single" w:color="auto" w:sz="4" w:space="0"/>
              <w:bottom w:val="single" w:color="auto" w:sz="4" w:space="0"/>
              <w:right w:val="single" w:color="auto" w:sz="4" w:space="0"/>
            </w:tcBorders>
            <w:noWrap/>
            <w:vAlign w:val="center"/>
          </w:tcPr>
          <w:p w14:paraId="67A93779">
            <w:pPr>
              <w:widowControl/>
              <w:jc w:val="center"/>
              <w:rPr>
                <w:color w:val="auto"/>
                <w:kern w:val="0"/>
                <w:sz w:val="21"/>
                <w:szCs w:val="21"/>
              </w:rPr>
            </w:pPr>
            <w:r>
              <w:rPr>
                <w:color w:val="auto"/>
                <w:sz w:val="21"/>
                <w:szCs w:val="21"/>
                <w:lang w:bidi="ar"/>
              </w:rPr>
              <w:t>W</w:t>
            </w:r>
            <w:r>
              <w:rPr>
                <w:color w:val="auto"/>
                <w:sz w:val="21"/>
                <w:szCs w:val="21"/>
                <w:vertAlign w:val="subscript"/>
                <w:lang w:bidi="ar"/>
              </w:rPr>
              <w:t>24</w:t>
            </w:r>
          </w:p>
        </w:tc>
        <w:tc>
          <w:tcPr>
            <w:tcW w:w="492" w:type="pct"/>
            <w:tcBorders>
              <w:top w:val="single" w:color="auto" w:sz="4" w:space="0"/>
              <w:left w:val="single" w:color="auto" w:sz="4" w:space="0"/>
              <w:bottom w:val="single" w:color="auto" w:sz="4" w:space="0"/>
              <w:right w:val="single" w:color="auto" w:sz="4" w:space="0"/>
            </w:tcBorders>
            <w:noWrap/>
            <w:vAlign w:val="center"/>
          </w:tcPr>
          <w:p w14:paraId="28C20383">
            <w:pPr>
              <w:widowControl/>
              <w:jc w:val="center"/>
              <w:rPr>
                <w:color w:val="auto"/>
                <w:kern w:val="0"/>
                <w:sz w:val="21"/>
                <w:szCs w:val="21"/>
              </w:rPr>
            </w:pPr>
            <w:r>
              <w:rPr>
                <w:color w:val="auto"/>
                <w:kern w:val="0"/>
                <w:sz w:val="21"/>
                <w:szCs w:val="21"/>
                <w:lang w:bidi="ar"/>
              </w:rPr>
              <w:t>69.69</w:t>
            </w:r>
          </w:p>
        </w:tc>
        <w:tc>
          <w:tcPr>
            <w:tcW w:w="492" w:type="pct"/>
            <w:tcBorders>
              <w:top w:val="single" w:color="auto" w:sz="4" w:space="0"/>
              <w:left w:val="single" w:color="auto" w:sz="4" w:space="0"/>
              <w:bottom w:val="single" w:color="auto" w:sz="4" w:space="0"/>
              <w:right w:val="single" w:color="auto" w:sz="4" w:space="0"/>
            </w:tcBorders>
            <w:noWrap/>
            <w:vAlign w:val="center"/>
          </w:tcPr>
          <w:p w14:paraId="748F3F8C">
            <w:pPr>
              <w:jc w:val="center"/>
              <w:rPr>
                <w:color w:val="auto"/>
                <w:sz w:val="21"/>
                <w:szCs w:val="21"/>
              </w:rPr>
            </w:pPr>
            <w:r>
              <w:rPr>
                <w:color w:val="auto"/>
                <w:sz w:val="21"/>
                <w:szCs w:val="21"/>
                <w:lang w:bidi="ar"/>
              </w:rPr>
              <w:t>64.09</w:t>
            </w:r>
          </w:p>
        </w:tc>
        <w:tc>
          <w:tcPr>
            <w:tcW w:w="492" w:type="pct"/>
            <w:tcBorders>
              <w:top w:val="single" w:color="auto" w:sz="4" w:space="0"/>
              <w:left w:val="single" w:color="auto" w:sz="4" w:space="0"/>
              <w:bottom w:val="single" w:color="auto" w:sz="4" w:space="0"/>
              <w:right w:val="single" w:color="auto" w:sz="4" w:space="0"/>
            </w:tcBorders>
            <w:noWrap/>
            <w:vAlign w:val="center"/>
          </w:tcPr>
          <w:p w14:paraId="13A08F6B">
            <w:pPr>
              <w:jc w:val="center"/>
              <w:rPr>
                <w:color w:val="auto"/>
                <w:sz w:val="21"/>
                <w:szCs w:val="21"/>
              </w:rPr>
            </w:pPr>
            <w:r>
              <w:rPr>
                <w:color w:val="auto"/>
                <w:sz w:val="21"/>
                <w:szCs w:val="21"/>
                <w:lang w:bidi="ar"/>
              </w:rPr>
              <w:t>51.05</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0D796232">
            <w:pPr>
              <w:jc w:val="center"/>
              <w:rPr>
                <w:color w:val="auto"/>
                <w:sz w:val="21"/>
                <w:szCs w:val="21"/>
              </w:rPr>
            </w:pPr>
            <w:r>
              <w:rPr>
                <w:color w:val="auto"/>
                <w:sz w:val="21"/>
                <w:szCs w:val="21"/>
                <w:lang w:bidi="ar"/>
              </w:rPr>
              <w:t>45.45</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75B0E596">
            <w:pPr>
              <w:jc w:val="center"/>
              <w:rPr>
                <w:color w:val="auto"/>
                <w:sz w:val="21"/>
                <w:szCs w:val="21"/>
              </w:rPr>
            </w:pPr>
            <w:r>
              <w:rPr>
                <w:color w:val="auto"/>
                <w:sz w:val="21"/>
                <w:szCs w:val="21"/>
                <w:lang w:bidi="ar"/>
              </w:rPr>
              <w:t>39.85</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5CD84232">
            <w:pPr>
              <w:widowControl/>
              <w:jc w:val="center"/>
              <w:rPr>
                <w:color w:val="auto"/>
                <w:kern w:val="0"/>
                <w:sz w:val="21"/>
                <w:szCs w:val="21"/>
              </w:rPr>
            </w:pPr>
            <w:r>
              <w:rPr>
                <w:color w:val="auto"/>
                <w:kern w:val="0"/>
                <w:sz w:val="21"/>
                <w:szCs w:val="21"/>
                <w:lang w:bidi="ar"/>
              </w:rPr>
              <w:t>32.33</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4313FCC5">
            <w:pPr>
              <w:jc w:val="center"/>
              <w:rPr>
                <w:color w:val="auto"/>
                <w:sz w:val="21"/>
                <w:szCs w:val="21"/>
              </w:rPr>
            </w:pPr>
            <w:r>
              <w:rPr>
                <w:color w:val="auto"/>
                <w:sz w:val="21"/>
                <w:szCs w:val="21"/>
                <w:lang w:bidi="ar"/>
              </w:rPr>
              <w:t>26.66</w:t>
            </w:r>
          </w:p>
        </w:tc>
        <w:tc>
          <w:tcPr>
            <w:tcW w:w="495" w:type="pct"/>
            <w:tcBorders>
              <w:top w:val="single" w:color="auto" w:sz="4" w:space="0"/>
              <w:left w:val="single" w:color="auto" w:sz="4" w:space="0"/>
              <w:bottom w:val="single" w:color="auto" w:sz="4" w:space="0"/>
              <w:right w:val="single" w:color="auto" w:sz="12" w:space="0"/>
            </w:tcBorders>
            <w:noWrap w:val="0"/>
            <w:vAlign w:val="center"/>
          </w:tcPr>
          <w:p w14:paraId="10848D0F">
            <w:pPr>
              <w:widowControl/>
              <w:jc w:val="center"/>
              <w:rPr>
                <w:color w:val="auto"/>
                <w:kern w:val="0"/>
                <w:sz w:val="21"/>
                <w:szCs w:val="21"/>
              </w:rPr>
            </w:pPr>
            <w:r>
              <w:rPr>
                <w:color w:val="auto"/>
                <w:kern w:val="0"/>
                <w:sz w:val="21"/>
                <w:szCs w:val="21"/>
                <w:lang w:bidi="ar"/>
              </w:rPr>
              <w:t>20.84</w:t>
            </w:r>
          </w:p>
        </w:tc>
      </w:tr>
      <w:tr w14:paraId="3D4BDA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604" w:type="pct"/>
            <w:vMerge w:val="restart"/>
            <w:tcBorders>
              <w:top w:val="single" w:color="auto" w:sz="4" w:space="0"/>
              <w:left w:val="single" w:color="auto" w:sz="12" w:space="0"/>
              <w:bottom w:val="single" w:color="auto" w:sz="12" w:space="0"/>
              <w:right w:val="single" w:color="auto" w:sz="4" w:space="0"/>
            </w:tcBorders>
            <w:noWrap w:val="0"/>
            <w:vAlign w:val="center"/>
          </w:tcPr>
          <w:p w14:paraId="23DA68A7">
            <w:pPr>
              <w:widowControl/>
              <w:jc w:val="center"/>
              <w:rPr>
                <w:color w:val="auto"/>
                <w:kern w:val="0"/>
                <w:sz w:val="21"/>
                <w:szCs w:val="21"/>
              </w:rPr>
            </w:pPr>
            <w:r>
              <w:rPr>
                <w:color w:val="auto"/>
                <w:kern w:val="0"/>
                <w:sz w:val="21"/>
                <w:szCs w:val="21"/>
                <w:lang w:bidi="ar"/>
              </w:rPr>
              <w:t>下水库</w:t>
            </w:r>
          </w:p>
        </w:tc>
        <w:tc>
          <w:tcPr>
            <w:tcW w:w="454" w:type="pct"/>
            <w:tcBorders>
              <w:top w:val="single" w:color="auto" w:sz="4" w:space="0"/>
              <w:left w:val="single" w:color="auto" w:sz="4" w:space="0"/>
              <w:bottom w:val="single" w:color="auto" w:sz="4" w:space="0"/>
              <w:right w:val="single" w:color="auto" w:sz="4" w:space="0"/>
            </w:tcBorders>
            <w:noWrap/>
            <w:vAlign w:val="center"/>
          </w:tcPr>
          <w:p w14:paraId="494535DF">
            <w:pPr>
              <w:widowControl/>
              <w:jc w:val="center"/>
              <w:rPr>
                <w:color w:val="auto"/>
                <w:kern w:val="0"/>
                <w:sz w:val="21"/>
                <w:szCs w:val="21"/>
              </w:rPr>
            </w:pPr>
            <w:r>
              <w:rPr>
                <w:color w:val="auto"/>
                <w:sz w:val="21"/>
                <w:szCs w:val="21"/>
                <w:lang w:bidi="ar"/>
              </w:rPr>
              <w:t>Qm</w:t>
            </w:r>
          </w:p>
        </w:tc>
        <w:tc>
          <w:tcPr>
            <w:tcW w:w="492" w:type="pct"/>
            <w:tcBorders>
              <w:top w:val="single" w:color="auto" w:sz="4" w:space="0"/>
              <w:left w:val="single" w:color="auto" w:sz="4" w:space="0"/>
              <w:bottom w:val="single" w:color="auto" w:sz="4" w:space="0"/>
              <w:right w:val="single" w:color="auto" w:sz="4" w:space="0"/>
            </w:tcBorders>
            <w:noWrap/>
            <w:vAlign w:val="center"/>
          </w:tcPr>
          <w:p w14:paraId="19A636EF">
            <w:pPr>
              <w:jc w:val="center"/>
              <w:rPr>
                <w:bCs/>
                <w:color w:val="auto"/>
                <w:sz w:val="21"/>
                <w:szCs w:val="21"/>
              </w:rPr>
            </w:pPr>
            <w:r>
              <w:rPr>
                <w:bCs/>
                <w:color w:val="auto"/>
                <w:sz w:val="21"/>
                <w:szCs w:val="21"/>
                <w:lang w:bidi="ar"/>
              </w:rPr>
              <w:t>656</w:t>
            </w:r>
          </w:p>
        </w:tc>
        <w:tc>
          <w:tcPr>
            <w:tcW w:w="492" w:type="pct"/>
            <w:tcBorders>
              <w:top w:val="single" w:color="auto" w:sz="4" w:space="0"/>
              <w:left w:val="single" w:color="auto" w:sz="4" w:space="0"/>
              <w:bottom w:val="single" w:color="auto" w:sz="4" w:space="0"/>
              <w:right w:val="single" w:color="auto" w:sz="4" w:space="0"/>
            </w:tcBorders>
            <w:noWrap/>
            <w:vAlign w:val="center"/>
          </w:tcPr>
          <w:p w14:paraId="2D7D91A9">
            <w:pPr>
              <w:jc w:val="center"/>
              <w:rPr>
                <w:bCs/>
                <w:color w:val="auto"/>
                <w:sz w:val="21"/>
                <w:szCs w:val="21"/>
              </w:rPr>
            </w:pPr>
            <w:r>
              <w:rPr>
                <w:bCs/>
                <w:color w:val="auto"/>
                <w:sz w:val="21"/>
                <w:szCs w:val="21"/>
                <w:lang w:bidi="ar"/>
              </w:rPr>
              <w:t>593</w:t>
            </w:r>
          </w:p>
        </w:tc>
        <w:tc>
          <w:tcPr>
            <w:tcW w:w="492" w:type="pct"/>
            <w:tcBorders>
              <w:top w:val="single" w:color="auto" w:sz="4" w:space="0"/>
              <w:left w:val="single" w:color="auto" w:sz="4" w:space="0"/>
              <w:bottom w:val="single" w:color="auto" w:sz="4" w:space="0"/>
              <w:right w:val="single" w:color="auto" w:sz="4" w:space="0"/>
            </w:tcBorders>
            <w:noWrap/>
            <w:vAlign w:val="center"/>
          </w:tcPr>
          <w:p w14:paraId="1115EA9A">
            <w:pPr>
              <w:jc w:val="center"/>
              <w:rPr>
                <w:bCs/>
                <w:color w:val="auto"/>
                <w:sz w:val="21"/>
                <w:szCs w:val="21"/>
              </w:rPr>
            </w:pPr>
            <w:r>
              <w:rPr>
                <w:bCs/>
                <w:color w:val="auto"/>
                <w:sz w:val="21"/>
                <w:szCs w:val="21"/>
                <w:lang w:bidi="ar"/>
              </w:rPr>
              <w:t>447</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7B32CCDA">
            <w:pPr>
              <w:jc w:val="center"/>
              <w:rPr>
                <w:bCs/>
                <w:color w:val="auto"/>
                <w:sz w:val="21"/>
                <w:szCs w:val="21"/>
              </w:rPr>
            </w:pPr>
            <w:r>
              <w:rPr>
                <w:bCs/>
                <w:color w:val="auto"/>
                <w:sz w:val="21"/>
                <w:szCs w:val="21"/>
                <w:lang w:bidi="ar"/>
              </w:rPr>
              <w:t>384</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2043E466">
            <w:pPr>
              <w:jc w:val="center"/>
              <w:rPr>
                <w:bCs/>
                <w:color w:val="auto"/>
                <w:sz w:val="21"/>
                <w:szCs w:val="21"/>
              </w:rPr>
            </w:pPr>
            <w:r>
              <w:rPr>
                <w:bCs/>
                <w:color w:val="auto"/>
                <w:sz w:val="21"/>
                <w:szCs w:val="21"/>
                <w:lang w:bidi="ar"/>
              </w:rPr>
              <w:t>323</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06E1F11E">
            <w:pPr>
              <w:jc w:val="center"/>
              <w:rPr>
                <w:bCs/>
                <w:color w:val="auto"/>
                <w:sz w:val="21"/>
                <w:szCs w:val="21"/>
              </w:rPr>
            </w:pPr>
            <w:r>
              <w:rPr>
                <w:bCs/>
                <w:color w:val="auto"/>
                <w:sz w:val="21"/>
                <w:szCs w:val="21"/>
                <w:lang w:bidi="ar"/>
              </w:rPr>
              <w:t>242</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3FE9A5F7">
            <w:pPr>
              <w:jc w:val="center"/>
              <w:rPr>
                <w:bCs/>
                <w:color w:val="auto"/>
                <w:sz w:val="21"/>
                <w:szCs w:val="21"/>
              </w:rPr>
            </w:pPr>
            <w:r>
              <w:rPr>
                <w:bCs/>
                <w:color w:val="auto"/>
                <w:sz w:val="21"/>
                <w:szCs w:val="21"/>
                <w:lang w:bidi="ar"/>
              </w:rPr>
              <w:t>183</w:t>
            </w:r>
          </w:p>
        </w:tc>
        <w:tc>
          <w:tcPr>
            <w:tcW w:w="495" w:type="pct"/>
            <w:tcBorders>
              <w:top w:val="single" w:color="auto" w:sz="4" w:space="0"/>
              <w:left w:val="single" w:color="auto" w:sz="4" w:space="0"/>
              <w:bottom w:val="single" w:color="auto" w:sz="4" w:space="0"/>
              <w:right w:val="single" w:color="auto" w:sz="12" w:space="0"/>
            </w:tcBorders>
            <w:noWrap w:val="0"/>
            <w:vAlign w:val="center"/>
          </w:tcPr>
          <w:p w14:paraId="1EB18AED">
            <w:pPr>
              <w:jc w:val="center"/>
              <w:rPr>
                <w:bCs/>
                <w:color w:val="auto"/>
                <w:sz w:val="21"/>
                <w:szCs w:val="21"/>
              </w:rPr>
            </w:pPr>
            <w:r>
              <w:rPr>
                <w:bCs/>
                <w:color w:val="auto"/>
                <w:sz w:val="21"/>
                <w:szCs w:val="21"/>
                <w:lang w:bidi="ar"/>
              </w:rPr>
              <w:t>125</w:t>
            </w:r>
          </w:p>
        </w:tc>
      </w:tr>
      <w:tr w14:paraId="35290A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604" w:type="pct"/>
            <w:vMerge w:val="continue"/>
            <w:tcBorders>
              <w:top w:val="single" w:color="auto" w:sz="4" w:space="0"/>
              <w:left w:val="single" w:color="auto" w:sz="12" w:space="0"/>
              <w:bottom w:val="single" w:color="auto" w:sz="12" w:space="0"/>
              <w:right w:val="single" w:color="auto" w:sz="4" w:space="0"/>
            </w:tcBorders>
            <w:noWrap w:val="0"/>
            <w:vAlign w:val="center"/>
          </w:tcPr>
          <w:p w14:paraId="3EBDE366">
            <w:pPr>
              <w:rPr>
                <w:color w:val="auto"/>
                <w:sz w:val="20"/>
                <w:szCs w:val="20"/>
              </w:rPr>
            </w:pPr>
          </w:p>
        </w:tc>
        <w:tc>
          <w:tcPr>
            <w:tcW w:w="454" w:type="pct"/>
            <w:tcBorders>
              <w:top w:val="single" w:color="auto" w:sz="4" w:space="0"/>
              <w:left w:val="single" w:color="auto" w:sz="4" w:space="0"/>
              <w:bottom w:val="single" w:color="auto" w:sz="12" w:space="0"/>
              <w:right w:val="single" w:color="auto" w:sz="4" w:space="0"/>
            </w:tcBorders>
            <w:noWrap/>
            <w:vAlign w:val="center"/>
          </w:tcPr>
          <w:p w14:paraId="0B5B6BAE">
            <w:pPr>
              <w:widowControl/>
              <w:jc w:val="center"/>
              <w:rPr>
                <w:color w:val="auto"/>
                <w:kern w:val="0"/>
                <w:sz w:val="21"/>
                <w:szCs w:val="21"/>
              </w:rPr>
            </w:pPr>
            <w:r>
              <w:rPr>
                <w:color w:val="auto"/>
                <w:sz w:val="21"/>
                <w:szCs w:val="21"/>
                <w:lang w:bidi="ar"/>
              </w:rPr>
              <w:t>W</w:t>
            </w:r>
            <w:r>
              <w:rPr>
                <w:color w:val="auto"/>
                <w:sz w:val="21"/>
                <w:szCs w:val="21"/>
                <w:vertAlign w:val="subscript"/>
                <w:lang w:bidi="ar"/>
              </w:rPr>
              <w:t>24</w:t>
            </w:r>
          </w:p>
        </w:tc>
        <w:tc>
          <w:tcPr>
            <w:tcW w:w="492" w:type="pct"/>
            <w:tcBorders>
              <w:top w:val="single" w:color="auto" w:sz="4" w:space="0"/>
              <w:left w:val="single" w:color="auto" w:sz="4" w:space="0"/>
              <w:bottom w:val="single" w:color="auto" w:sz="12" w:space="0"/>
              <w:right w:val="single" w:color="auto" w:sz="4" w:space="0"/>
            </w:tcBorders>
            <w:noWrap/>
            <w:vAlign w:val="center"/>
          </w:tcPr>
          <w:p w14:paraId="62622DC1">
            <w:pPr>
              <w:widowControl/>
              <w:jc w:val="center"/>
              <w:rPr>
                <w:color w:val="auto"/>
                <w:kern w:val="0"/>
                <w:sz w:val="21"/>
                <w:szCs w:val="21"/>
              </w:rPr>
            </w:pPr>
            <w:r>
              <w:rPr>
                <w:color w:val="auto"/>
                <w:kern w:val="0"/>
                <w:sz w:val="21"/>
                <w:szCs w:val="21"/>
                <w:lang w:bidi="ar"/>
              </w:rPr>
              <w:t>1008</w:t>
            </w:r>
          </w:p>
        </w:tc>
        <w:tc>
          <w:tcPr>
            <w:tcW w:w="492" w:type="pct"/>
            <w:tcBorders>
              <w:top w:val="single" w:color="auto" w:sz="4" w:space="0"/>
              <w:left w:val="single" w:color="auto" w:sz="4" w:space="0"/>
              <w:bottom w:val="single" w:color="auto" w:sz="12" w:space="0"/>
              <w:right w:val="single" w:color="auto" w:sz="4" w:space="0"/>
            </w:tcBorders>
            <w:noWrap/>
            <w:vAlign w:val="center"/>
          </w:tcPr>
          <w:p w14:paraId="1DC8FEE5">
            <w:pPr>
              <w:jc w:val="center"/>
              <w:rPr>
                <w:color w:val="auto"/>
                <w:sz w:val="21"/>
                <w:szCs w:val="21"/>
              </w:rPr>
            </w:pPr>
            <w:r>
              <w:rPr>
                <w:color w:val="auto"/>
                <w:sz w:val="21"/>
                <w:szCs w:val="21"/>
                <w:lang w:bidi="ar"/>
              </w:rPr>
              <w:t>926.5</w:t>
            </w:r>
          </w:p>
        </w:tc>
        <w:tc>
          <w:tcPr>
            <w:tcW w:w="492" w:type="pct"/>
            <w:tcBorders>
              <w:top w:val="single" w:color="auto" w:sz="4" w:space="0"/>
              <w:left w:val="single" w:color="auto" w:sz="4" w:space="0"/>
              <w:bottom w:val="single" w:color="auto" w:sz="12" w:space="0"/>
              <w:right w:val="single" w:color="auto" w:sz="4" w:space="0"/>
            </w:tcBorders>
            <w:noWrap/>
            <w:vAlign w:val="center"/>
          </w:tcPr>
          <w:p w14:paraId="2773B8B3">
            <w:pPr>
              <w:jc w:val="center"/>
              <w:rPr>
                <w:color w:val="auto"/>
                <w:sz w:val="21"/>
                <w:szCs w:val="21"/>
              </w:rPr>
            </w:pPr>
            <w:r>
              <w:rPr>
                <w:color w:val="auto"/>
                <w:sz w:val="21"/>
                <w:szCs w:val="21"/>
                <w:lang w:bidi="ar"/>
              </w:rPr>
              <w:t>737.7</w:t>
            </w:r>
          </w:p>
        </w:tc>
        <w:tc>
          <w:tcPr>
            <w:tcW w:w="492" w:type="pct"/>
            <w:tcBorders>
              <w:top w:val="single" w:color="auto" w:sz="4" w:space="0"/>
              <w:left w:val="single" w:color="auto" w:sz="4" w:space="0"/>
              <w:bottom w:val="single" w:color="auto" w:sz="12" w:space="0"/>
              <w:right w:val="single" w:color="auto" w:sz="4" w:space="0"/>
            </w:tcBorders>
            <w:noWrap w:val="0"/>
            <w:vAlign w:val="center"/>
          </w:tcPr>
          <w:p w14:paraId="53EA42B0">
            <w:pPr>
              <w:jc w:val="center"/>
              <w:rPr>
                <w:color w:val="auto"/>
                <w:sz w:val="21"/>
                <w:szCs w:val="21"/>
              </w:rPr>
            </w:pPr>
            <w:r>
              <w:rPr>
                <w:color w:val="auto"/>
                <w:sz w:val="21"/>
                <w:szCs w:val="21"/>
                <w:lang w:bidi="ar"/>
              </w:rPr>
              <w:t>656.6</w:t>
            </w:r>
          </w:p>
        </w:tc>
        <w:tc>
          <w:tcPr>
            <w:tcW w:w="492" w:type="pct"/>
            <w:tcBorders>
              <w:top w:val="single" w:color="auto" w:sz="4" w:space="0"/>
              <w:left w:val="single" w:color="auto" w:sz="4" w:space="0"/>
              <w:bottom w:val="single" w:color="auto" w:sz="12" w:space="0"/>
              <w:right w:val="single" w:color="auto" w:sz="4" w:space="0"/>
            </w:tcBorders>
            <w:noWrap w:val="0"/>
            <w:vAlign w:val="center"/>
          </w:tcPr>
          <w:p w14:paraId="3F9D236B">
            <w:pPr>
              <w:jc w:val="center"/>
              <w:rPr>
                <w:color w:val="auto"/>
                <w:sz w:val="21"/>
                <w:szCs w:val="21"/>
              </w:rPr>
            </w:pPr>
            <w:r>
              <w:rPr>
                <w:color w:val="auto"/>
                <w:sz w:val="21"/>
                <w:szCs w:val="21"/>
                <w:lang w:bidi="ar"/>
              </w:rPr>
              <w:t>575.6</w:t>
            </w:r>
          </w:p>
        </w:tc>
        <w:tc>
          <w:tcPr>
            <w:tcW w:w="492" w:type="pct"/>
            <w:tcBorders>
              <w:top w:val="single" w:color="auto" w:sz="4" w:space="0"/>
              <w:left w:val="single" w:color="auto" w:sz="4" w:space="0"/>
              <w:bottom w:val="single" w:color="auto" w:sz="12" w:space="0"/>
              <w:right w:val="single" w:color="auto" w:sz="4" w:space="0"/>
            </w:tcBorders>
            <w:noWrap w:val="0"/>
            <w:vAlign w:val="center"/>
          </w:tcPr>
          <w:p w14:paraId="2FE6691B">
            <w:pPr>
              <w:widowControl/>
              <w:jc w:val="center"/>
              <w:rPr>
                <w:color w:val="auto"/>
                <w:kern w:val="0"/>
                <w:sz w:val="21"/>
                <w:szCs w:val="21"/>
              </w:rPr>
            </w:pPr>
            <w:r>
              <w:rPr>
                <w:color w:val="auto"/>
                <w:kern w:val="0"/>
                <w:sz w:val="21"/>
                <w:szCs w:val="21"/>
                <w:lang w:bidi="ar"/>
              </w:rPr>
              <w:t>466.8</w:t>
            </w:r>
          </w:p>
        </w:tc>
        <w:tc>
          <w:tcPr>
            <w:tcW w:w="492" w:type="pct"/>
            <w:tcBorders>
              <w:top w:val="single" w:color="auto" w:sz="4" w:space="0"/>
              <w:left w:val="single" w:color="auto" w:sz="4" w:space="0"/>
              <w:bottom w:val="single" w:color="auto" w:sz="12" w:space="0"/>
              <w:right w:val="single" w:color="auto" w:sz="4" w:space="0"/>
            </w:tcBorders>
            <w:noWrap w:val="0"/>
            <w:vAlign w:val="center"/>
          </w:tcPr>
          <w:p w14:paraId="0E8C8B81">
            <w:pPr>
              <w:jc w:val="center"/>
              <w:rPr>
                <w:color w:val="auto"/>
                <w:sz w:val="21"/>
                <w:szCs w:val="21"/>
              </w:rPr>
            </w:pPr>
            <w:r>
              <w:rPr>
                <w:color w:val="auto"/>
                <w:sz w:val="21"/>
                <w:szCs w:val="21"/>
                <w:lang w:bidi="ar"/>
              </w:rPr>
              <w:t>384.8</w:t>
            </w:r>
          </w:p>
        </w:tc>
        <w:tc>
          <w:tcPr>
            <w:tcW w:w="495" w:type="pct"/>
            <w:tcBorders>
              <w:top w:val="single" w:color="auto" w:sz="4" w:space="0"/>
              <w:left w:val="single" w:color="auto" w:sz="4" w:space="0"/>
              <w:bottom w:val="single" w:color="auto" w:sz="12" w:space="0"/>
              <w:right w:val="single" w:color="auto" w:sz="12" w:space="0"/>
            </w:tcBorders>
            <w:noWrap w:val="0"/>
            <w:vAlign w:val="center"/>
          </w:tcPr>
          <w:p w14:paraId="7DECD5B5">
            <w:pPr>
              <w:widowControl/>
              <w:jc w:val="center"/>
              <w:rPr>
                <w:color w:val="auto"/>
                <w:kern w:val="0"/>
                <w:sz w:val="21"/>
                <w:szCs w:val="21"/>
              </w:rPr>
            </w:pPr>
            <w:r>
              <w:rPr>
                <w:color w:val="auto"/>
                <w:kern w:val="0"/>
                <w:sz w:val="21"/>
                <w:szCs w:val="21"/>
                <w:lang w:bidi="ar"/>
              </w:rPr>
              <w:t>301.6</w:t>
            </w:r>
          </w:p>
        </w:tc>
      </w:tr>
    </w:tbl>
    <w:p w14:paraId="4625430E">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rPr>
      </w:pPr>
      <w:bookmarkStart w:id="26" w:name="_Toc30904"/>
      <w:bookmarkStart w:id="27" w:name="_Toc26614"/>
      <w:bookmarkStart w:id="28" w:name="_Toc26595"/>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.6  泥沙</w:t>
      </w:r>
      <w:bookmarkEnd w:id="26"/>
      <w:bookmarkEnd w:id="27"/>
      <w:bookmarkEnd w:id="28"/>
    </w:p>
    <w:p w14:paraId="5C3179B1">
      <w:pPr>
        <w:spacing w:line="520" w:lineRule="exact"/>
        <w:ind w:firstLine="480" w:firstLineChars="200"/>
        <w:rPr>
          <w:color w:val="auto"/>
        </w:rPr>
      </w:pPr>
      <w:r>
        <w:rPr>
          <w:snapToGrid w:val="0"/>
          <w:color w:val="auto"/>
          <w:lang w:bidi="ar"/>
        </w:rPr>
        <w:t>本阶段输沙模数选用500t/km²，推移质输沙量按悬移质输沙量的30%考虑。上水库年均悬移质输沙量为355t，推移质输沙量为106t。根据布伦公式计算，下水库拦沙率为96.3%；下水库考虑大坝拦蓄的影响，年均悬移质输沙量为5700t，推移质输沙量为1710t。悬移质泥沙干容重取1.3t/m³，推移质泥沙干容重取1.4t/m³。上水库多年平均入库沙量349</w:t>
      </w:r>
      <w:r>
        <w:rPr>
          <w:rFonts w:hint="eastAsia"/>
          <w:snapToGrid w:val="0"/>
          <w:color w:val="auto"/>
          <w:lang w:bidi="ar"/>
        </w:rPr>
        <w:t>m³</w:t>
      </w:r>
      <w:r>
        <w:rPr>
          <w:snapToGrid w:val="0"/>
          <w:color w:val="auto"/>
          <w:lang w:bidi="ar"/>
        </w:rPr>
        <w:t>，下水库多年平均入库沙量5444</w:t>
      </w:r>
      <w:r>
        <w:rPr>
          <w:rFonts w:hint="eastAsia"/>
          <w:snapToGrid w:val="0"/>
          <w:color w:val="auto"/>
          <w:lang w:bidi="ar"/>
        </w:rPr>
        <w:t>m³</w:t>
      </w:r>
      <w:r>
        <w:rPr>
          <w:snapToGrid w:val="0"/>
          <w:color w:val="auto"/>
          <w:lang w:bidi="ar"/>
        </w:rPr>
        <w:t>。</w:t>
      </w:r>
    </w:p>
    <w:p w14:paraId="6930EBD0">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rPr>
      </w:pPr>
      <w:bookmarkStart w:id="29" w:name="_Toc209"/>
      <w:bookmarkStart w:id="30" w:name="_Toc443"/>
      <w:bookmarkStart w:id="31" w:name="_Toc11414"/>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.7水位流量关系</w:t>
      </w:r>
      <w:bookmarkEnd w:id="29"/>
      <w:bookmarkEnd w:id="30"/>
      <w:bookmarkEnd w:id="31"/>
    </w:p>
    <w:p w14:paraId="207114E3">
      <w:pPr>
        <w:spacing w:line="520" w:lineRule="exact"/>
        <w:ind w:firstLine="480" w:firstLineChars="200"/>
        <w:rPr>
          <w:color w:val="auto"/>
        </w:rPr>
      </w:pPr>
      <w:r>
        <w:rPr>
          <w:color w:val="auto"/>
          <w:lang w:bidi="ar"/>
        </w:rPr>
        <w:t>水位流量关系根据实测河道横断面、河段纵断面以及河道糙率等参数，采用曼宁公式（亦称比降法）计算求得。</w:t>
      </w:r>
    </w:p>
    <w:p w14:paraId="020254F3">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rPr>
      </w:pPr>
      <w:bookmarkStart w:id="32" w:name="_Toc22366"/>
      <w:bookmarkStart w:id="33" w:name="_Toc30717"/>
      <w:bookmarkStart w:id="34" w:name="_Toc19614"/>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.8水情自动测报系统</w:t>
      </w:r>
      <w:bookmarkEnd w:id="32"/>
      <w:bookmarkEnd w:id="33"/>
      <w:bookmarkEnd w:id="34"/>
    </w:p>
    <w:p w14:paraId="6E9C4D37">
      <w:pPr>
        <w:spacing w:line="520" w:lineRule="exact"/>
        <w:ind w:firstLine="480" w:firstLineChars="200"/>
        <w:rPr>
          <w:snapToGrid w:val="0"/>
          <w:color w:val="auto"/>
        </w:rPr>
      </w:pPr>
      <w:r>
        <w:rPr>
          <w:snapToGrid w:val="0"/>
          <w:color w:val="auto"/>
          <w:lang w:bidi="ar"/>
        </w:rPr>
        <w:t>系统设立1个中心站，2个遥测水位站，3个遥测水位雨量站，2个气象站。遥测水位站包括</w:t>
      </w:r>
      <w:r>
        <w:rPr>
          <w:rFonts w:hint="eastAsia"/>
          <w:snapToGrid w:val="0"/>
          <w:color w:val="auto"/>
          <w:lang w:eastAsia="zh" w:bidi="ar"/>
        </w:rPr>
        <w:t>建设</w:t>
      </w:r>
      <w:r>
        <w:rPr>
          <w:snapToGrid w:val="0"/>
          <w:color w:val="auto"/>
          <w:lang w:bidi="ar"/>
        </w:rPr>
        <w:t>期导流洞出口水位站、运行期坝下水位流量站。遥测水位雨量站包括</w:t>
      </w:r>
      <w:r>
        <w:rPr>
          <w:rFonts w:hint="eastAsia"/>
          <w:snapToGrid w:val="0"/>
          <w:color w:val="auto"/>
          <w:lang w:eastAsia="zh" w:bidi="ar"/>
        </w:rPr>
        <w:t>建设</w:t>
      </w:r>
      <w:r>
        <w:rPr>
          <w:snapToGrid w:val="0"/>
          <w:color w:val="auto"/>
          <w:lang w:bidi="ar"/>
        </w:rPr>
        <w:t>期下库导流洞进口水位雨量站、运行期上水库坝上水位雨量站、运行期下水库坝上水位雨量站。气象站包括上水库气象站和下水库气象站。</w:t>
      </w:r>
      <w:r>
        <w:rPr>
          <w:color w:val="auto"/>
          <w:lang w:bidi="ar"/>
        </w:rPr>
        <w:t>水情自动测报系统投资估算包括临时水文测报设施、建设期水文测报服务、永久水文测验设施三部分。水情测报系统的费用主要由水情中心站、水位雨量遥测站、水位遥测站、气象站和视频采集系统的设备设施以及土建安装费、软件费、报告编制费、</w:t>
      </w:r>
      <w:r>
        <w:rPr>
          <w:rFonts w:hint="eastAsia"/>
          <w:color w:val="auto"/>
          <w:lang w:eastAsia="zh" w:bidi="ar"/>
        </w:rPr>
        <w:t>建设期</w:t>
      </w:r>
      <w:r>
        <w:rPr>
          <w:color w:val="auto"/>
          <w:lang w:bidi="ar"/>
        </w:rPr>
        <w:t>水情预报服务费等组成。</w:t>
      </w:r>
    </w:p>
    <w:p w14:paraId="30EA82E2">
      <w:pPr>
        <w:pStyle w:val="3"/>
        <w:keepNext/>
        <w:keepLines/>
        <w:widowControl w:val="0"/>
        <w:adjustRightInd w:val="0"/>
        <w:snapToGrid w:val="0"/>
        <w:spacing w:before="0" w:beforeAutospacing="0" w:after="0" w:afterAutospacing="0" w:line="520" w:lineRule="exact"/>
        <w:ind w:firstLine="480" w:firstLineChars="200"/>
        <w:outlineLvl w:val="1"/>
        <w:rPr>
          <w:rFonts w:hAnsi="Times New Roman" w:cs="Times New Roman"/>
          <w:color w:val="auto"/>
        </w:rPr>
      </w:pPr>
      <w:bookmarkStart w:id="35" w:name="_Toc19473"/>
      <w:bookmarkStart w:id="36" w:name="_Toc1093"/>
      <w:bookmarkStart w:id="37" w:name="_Toc30736"/>
      <w:r>
        <w:rPr>
          <w:rFonts w:hint="eastAsia" w:hAnsi="Times New Roman" w:cs="Times New Roman"/>
          <w:color w:val="auto"/>
          <w:sz w:val="24"/>
          <w:szCs w:val="24"/>
          <w:lang w:val="en-US" w:eastAsia="zh-CN" w:bidi="ar"/>
        </w:rPr>
        <w:t>1</w:t>
      </w:r>
      <w:r>
        <w:rPr>
          <w:rFonts w:hAnsi="Times New Roman" w:cs="Times New Roman"/>
          <w:color w:val="auto"/>
          <w:sz w:val="24"/>
          <w:szCs w:val="24"/>
          <w:lang w:bidi="ar"/>
        </w:rPr>
        <w:t>.9蒸发和水温</w:t>
      </w:r>
      <w:bookmarkEnd w:id="35"/>
      <w:bookmarkEnd w:id="36"/>
      <w:bookmarkEnd w:id="37"/>
    </w:p>
    <w:p w14:paraId="7925AD92">
      <w:pPr>
        <w:spacing w:line="520" w:lineRule="exact"/>
        <w:ind w:firstLine="480" w:firstLineChars="200"/>
        <w:outlineLvl w:val="0"/>
        <w:rPr>
          <w:color w:val="auto"/>
        </w:rPr>
      </w:pPr>
      <w:bookmarkStart w:id="38" w:name="_Toc28974"/>
      <w:bookmarkStart w:id="39" w:name="_Toc15993"/>
      <w:bookmarkStart w:id="40" w:name="_Toc28923"/>
      <w:bookmarkStart w:id="41" w:name="_Toc27001"/>
      <w:r>
        <w:rPr>
          <w:color w:val="auto"/>
          <w:lang w:bidi="ar"/>
        </w:rPr>
        <w:t>1、蒸发</w:t>
      </w:r>
      <w:bookmarkEnd w:id="38"/>
      <w:bookmarkEnd w:id="39"/>
      <w:bookmarkEnd w:id="40"/>
      <w:bookmarkEnd w:id="41"/>
    </w:p>
    <w:p w14:paraId="1656E6A2">
      <w:pPr>
        <w:spacing w:line="520" w:lineRule="exact"/>
        <w:ind w:firstLine="480" w:firstLineChars="200"/>
        <w:rPr>
          <w:color w:val="auto"/>
        </w:rPr>
      </w:pPr>
      <w:r>
        <w:rPr>
          <w:color w:val="auto"/>
          <w:lang w:bidi="ar"/>
        </w:rPr>
        <w:t>根据南安气象站实测资料换算，项目区多年平均水面蒸发量为1150mm，多年平均陆地蒸发为8</w:t>
      </w:r>
      <w:r>
        <w:rPr>
          <w:rFonts w:hint="eastAsia"/>
          <w:color w:val="auto"/>
          <w:lang w:eastAsia="zh" w:bidi="ar"/>
        </w:rPr>
        <w:t>0</w:t>
      </w:r>
      <w:r>
        <w:rPr>
          <w:color w:val="auto"/>
          <w:lang w:bidi="ar"/>
        </w:rPr>
        <w:t>9mm。多年平均蒸发增损量为341mm。</w:t>
      </w:r>
    </w:p>
    <w:p w14:paraId="32A5C5C2">
      <w:pPr>
        <w:spacing w:line="520" w:lineRule="exact"/>
        <w:ind w:firstLine="480" w:firstLineChars="200"/>
        <w:outlineLvl w:val="0"/>
        <w:rPr>
          <w:color w:val="auto"/>
        </w:rPr>
      </w:pPr>
      <w:bookmarkStart w:id="42" w:name="_Toc22057"/>
      <w:bookmarkStart w:id="43" w:name="_Toc3301"/>
      <w:bookmarkStart w:id="44" w:name="_Toc29037"/>
      <w:bookmarkStart w:id="45" w:name="_Toc21275"/>
      <w:r>
        <w:rPr>
          <w:color w:val="auto"/>
          <w:lang w:bidi="ar"/>
        </w:rPr>
        <w:t>2、水温</w:t>
      </w:r>
      <w:bookmarkEnd w:id="42"/>
      <w:bookmarkEnd w:id="43"/>
      <w:bookmarkEnd w:id="44"/>
      <w:bookmarkEnd w:id="45"/>
    </w:p>
    <w:p w14:paraId="798EF824">
      <w:pPr>
        <w:spacing w:line="520" w:lineRule="exact"/>
        <w:ind w:firstLine="480" w:firstLineChars="200"/>
        <w:rPr>
          <w:color w:val="auto"/>
        </w:rPr>
      </w:pPr>
      <w:r>
        <w:rPr>
          <w:snapToGrid w:val="0"/>
          <w:color w:val="auto"/>
          <w:kern w:val="0"/>
          <w:lang w:bidi="ar"/>
        </w:rPr>
        <w:t>上库多年平均水温</w:t>
      </w:r>
      <w:r>
        <w:rPr>
          <w:rFonts w:hint="eastAsia"/>
          <w:snapToGrid w:val="0"/>
          <w:color w:val="auto"/>
          <w:kern w:val="0"/>
          <w:lang w:eastAsia="zh" w:bidi="ar"/>
        </w:rPr>
        <w:t>18.6</w:t>
      </w:r>
      <w:r>
        <w:rPr>
          <w:snapToGrid w:val="0"/>
          <w:color w:val="auto"/>
          <w:kern w:val="0"/>
          <w:lang w:bidi="ar"/>
        </w:rPr>
        <w:t>℃，最高</w:t>
      </w:r>
      <w:r>
        <w:rPr>
          <w:rFonts w:hint="eastAsia"/>
          <w:snapToGrid w:val="0"/>
          <w:color w:val="auto"/>
          <w:kern w:val="0"/>
          <w:lang w:eastAsia="zh" w:bidi="ar"/>
        </w:rPr>
        <w:t>30.6</w:t>
      </w:r>
      <w:r>
        <w:rPr>
          <w:snapToGrid w:val="0"/>
          <w:color w:val="auto"/>
          <w:kern w:val="0"/>
          <w:lang w:bidi="ar"/>
        </w:rPr>
        <w:t>℃，最低</w:t>
      </w:r>
      <w:r>
        <w:rPr>
          <w:rFonts w:hint="eastAsia"/>
          <w:snapToGrid w:val="0"/>
          <w:color w:val="auto"/>
          <w:kern w:val="0"/>
          <w:lang w:eastAsia="zh" w:bidi="ar"/>
        </w:rPr>
        <w:t>2.4</w:t>
      </w:r>
      <w:r>
        <w:rPr>
          <w:snapToGrid w:val="0"/>
          <w:color w:val="auto"/>
          <w:kern w:val="0"/>
          <w:lang w:bidi="ar"/>
        </w:rPr>
        <w:t>℃；下库多年平均水温</w:t>
      </w:r>
      <w:r>
        <w:rPr>
          <w:rFonts w:hint="eastAsia"/>
          <w:snapToGrid w:val="0"/>
          <w:color w:val="auto"/>
          <w:kern w:val="0"/>
          <w:lang w:eastAsia="zh" w:bidi="ar"/>
        </w:rPr>
        <w:t>21.2</w:t>
      </w:r>
      <w:r>
        <w:rPr>
          <w:snapToGrid w:val="0"/>
          <w:color w:val="auto"/>
          <w:kern w:val="0"/>
          <w:lang w:bidi="ar"/>
        </w:rPr>
        <w:t>℃，最高</w:t>
      </w:r>
      <w:r>
        <w:rPr>
          <w:rFonts w:hint="eastAsia"/>
          <w:snapToGrid w:val="0"/>
          <w:color w:val="auto"/>
          <w:kern w:val="0"/>
          <w:lang w:eastAsia="zh" w:bidi="ar"/>
        </w:rPr>
        <w:t>33.2</w:t>
      </w:r>
      <w:r>
        <w:rPr>
          <w:snapToGrid w:val="0"/>
          <w:color w:val="auto"/>
          <w:kern w:val="0"/>
          <w:lang w:bidi="ar"/>
        </w:rPr>
        <w:t>℃，最低</w:t>
      </w:r>
      <w:r>
        <w:rPr>
          <w:rFonts w:hint="eastAsia"/>
          <w:snapToGrid w:val="0"/>
          <w:color w:val="auto"/>
          <w:kern w:val="0"/>
          <w:lang w:eastAsia="zh" w:bidi="ar"/>
        </w:rPr>
        <w:t>5.0</w:t>
      </w:r>
      <w:r>
        <w:rPr>
          <w:snapToGrid w:val="0"/>
          <w:color w:val="auto"/>
          <w:kern w:val="0"/>
          <w:lang w:bidi="ar"/>
        </w:rPr>
        <w:t>℃。</w:t>
      </w:r>
      <w:bookmarkStart w:id="46" w:name="_GoBack"/>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8A7B1"/>
    <w:multiLevelType w:val="singleLevel"/>
    <w:tmpl w:val="8548A7B1"/>
    <w:lvl w:ilvl="0" w:tentative="0">
      <w:start w:val="3"/>
      <w:numFmt w:val="upperLetter"/>
      <w:pStyle w:val="2"/>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F0110"/>
    <w:rsid w:val="1E5F0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numPr>
        <w:ilvl w:val="0"/>
        <w:numId w:val="1"/>
      </w:numPr>
      <w:outlineLvl w:val="0"/>
    </w:pPr>
    <w:rPr>
      <w:rFonts w:ascii="Times New Roman" w:hAnsi="Times New Roman" w:eastAsia="宋体" w:cs="Times New Roman"/>
      <w:sz w:val="24"/>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line="360" w:lineRule="auto"/>
      <w:jc w:val="left"/>
    </w:pPr>
    <w:rPr>
      <w:rFonts w:hAnsi="宋体" w:cs="宋体"/>
      <w:kern w:val="0"/>
      <w:sz w:val="18"/>
      <w:szCs w:val="18"/>
    </w:rPr>
  </w:style>
  <w:style w:type="paragraph" w:customStyle="1" w:styleId="6">
    <w:name w:val="东田标题1"/>
    <w:basedOn w:val="2"/>
    <w:next w:val="7"/>
    <w:qFormat/>
    <w:uiPriority w:val="0"/>
    <w:pPr>
      <w:numPr>
        <w:ilvl w:val="0"/>
        <w:numId w:val="1"/>
      </w:numPr>
      <w:adjustRightInd w:val="0"/>
      <w:snapToGrid w:val="0"/>
      <w:spacing w:line="520" w:lineRule="exact"/>
      <w:ind w:left="0" w:firstLine="880" w:firstLineChars="200"/>
      <w:jc w:val="left"/>
    </w:pPr>
    <w:rPr>
      <w:rFonts w:hint="eastAsia" w:eastAsia="宋体"/>
    </w:rPr>
  </w:style>
  <w:style w:type="paragraph" w:customStyle="1" w:styleId="7">
    <w:name w:val="东田正文"/>
    <w:basedOn w:val="1"/>
    <w:qFormat/>
    <w:uiPriority w:val="0"/>
    <w:pPr>
      <w:keepNext/>
      <w:adjustRightInd w:val="0"/>
      <w:snapToGrid w:val="0"/>
      <w:spacing w:line="520" w:lineRule="exact"/>
      <w:ind w:left="0" w:leftChars="0" w:firstLine="880" w:firstLineChars="200"/>
      <w:jc w:val="left"/>
    </w:pPr>
    <w:rPr>
      <w:rFonts w:hint="eastAsia" w:ascii="宋体" w:hAnsi="宋体"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2025-07-07T07:03:00Z</dcterms:created>
  <dc:creator>詹剑义</dc:creator>
  <cp:lastModifiedBy>詹剑义</cp:lastModifiedBy>
  <dcterms:modified xsi:type="dcterms:W3CDTF">2025-07-07T07:08:15Z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9CC4D62F34024B6B88D34C1D35F0E1E6_11</vt:lpwstr>
  </property>
</Properties>
</file>