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003"/>
        <w:gridCol w:w="2616"/>
        <w:gridCol w:w="5431"/>
      </w:tblGrid>
      <w:tr w14:paraId="62A61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5EC79DBE">
            <w:pPr>
              <w:widowControl w:val="0"/>
              <w:tabs>
                <w:tab w:val="left" w:pos="180"/>
                <w:tab w:val="left" w:pos="567"/>
              </w:tabs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项号</w:t>
            </w:r>
          </w:p>
        </w:tc>
        <w:tc>
          <w:tcPr>
            <w:tcW w:w="1003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 w14:paraId="3077BC95">
            <w:pPr>
              <w:widowControl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条款号</w:t>
            </w:r>
          </w:p>
        </w:tc>
        <w:tc>
          <w:tcPr>
            <w:tcW w:w="26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C03F8">
            <w:pPr>
              <w:widowControl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  <w:t>条款名称</w:t>
            </w:r>
          </w:p>
        </w:tc>
        <w:tc>
          <w:tcPr>
            <w:tcW w:w="5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27B9E9F">
            <w:pPr>
              <w:widowControl/>
              <w:tabs>
                <w:tab w:val="left" w:pos="900"/>
                <w:tab w:val="left" w:pos="1100"/>
              </w:tabs>
              <w:adjustRightIn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Cs/>
                <w:i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color w:val="auto"/>
                <w:sz w:val="21"/>
                <w:szCs w:val="21"/>
                <w:highlight w:val="none"/>
                <w:lang w:val="en-US" w:eastAsia="zh-CN"/>
              </w:rPr>
              <w:t>编列内容</w:t>
            </w:r>
          </w:p>
        </w:tc>
      </w:tr>
      <w:tr w14:paraId="6B53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2024B4AE">
            <w:pPr>
              <w:widowControl w:val="0"/>
              <w:tabs>
                <w:tab w:val="left" w:pos="180"/>
              </w:tabs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2"/>
                <w:sz w:val="21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003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 w14:paraId="43CD1830">
            <w:pPr>
              <w:widowControl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2"/>
                <w:sz w:val="21"/>
                <w:highlight w:val="none"/>
                <w:lang w:val="en-US" w:eastAsia="zh-CN" w:bidi="ar-SA"/>
              </w:rPr>
              <w:t>7.1.1</w:t>
            </w:r>
          </w:p>
        </w:tc>
        <w:tc>
          <w:tcPr>
            <w:tcW w:w="26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A5F2">
            <w:pPr>
              <w:widowControl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2"/>
                <w:sz w:val="21"/>
                <w:highlight w:val="none"/>
                <w:lang w:val="en-US" w:eastAsia="zh-CN" w:bidi="ar-SA"/>
              </w:rPr>
              <w:t>影响工程质量安全的基础、主体结构等主要分部分项工程及其招标控制价中相应的综合单价</w:t>
            </w:r>
          </w:p>
        </w:tc>
        <w:tc>
          <w:tcPr>
            <w:tcW w:w="5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216DB894">
            <w:pPr>
              <w:widowControl/>
              <w:tabs>
                <w:tab w:val="left" w:pos="900"/>
                <w:tab w:val="left" w:pos="1100"/>
              </w:tabs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具体详见招标控制价预算书的分部分项工程量清单与计价表：</w:t>
            </w:r>
          </w:p>
          <w:p w14:paraId="5FF3A911">
            <w:pPr>
              <w:widowControl/>
              <w:tabs>
                <w:tab w:val="left" w:pos="900"/>
                <w:tab w:val="left" w:pos="1100"/>
              </w:tabs>
              <w:adjustRightIn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序号：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149-157、160-171、172-174、178-186</w:t>
            </w:r>
          </w:p>
        </w:tc>
      </w:tr>
      <w:tr w14:paraId="377AC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1BC0AA46">
            <w:pPr>
              <w:widowControl w:val="0"/>
              <w:tabs>
                <w:tab w:val="left" w:pos="180"/>
              </w:tabs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2"/>
                <w:sz w:val="21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003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 w14:paraId="131A16C9">
            <w:pPr>
              <w:widowControl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2"/>
                <w:sz w:val="21"/>
                <w:highlight w:val="none"/>
                <w:lang w:val="en-US" w:eastAsia="zh-CN" w:bidi="ar-SA"/>
              </w:rPr>
              <w:t>7.1.2</w:t>
            </w:r>
          </w:p>
        </w:tc>
        <w:tc>
          <w:tcPr>
            <w:tcW w:w="26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75E93">
            <w:pPr>
              <w:widowControl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2"/>
                <w:sz w:val="21"/>
                <w:highlight w:val="none"/>
                <w:lang w:val="en-US" w:eastAsia="zh-CN" w:bidi="ar-SA"/>
              </w:rPr>
              <w:t>影响工程质量安全的脚手架、混凝土及钢筋混凝土模板、垂直运输机械、基坑支护等措施项目及其招标控制价中相应的费用</w:t>
            </w:r>
          </w:p>
        </w:tc>
        <w:tc>
          <w:tcPr>
            <w:tcW w:w="5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32793E4F">
            <w:pPr>
              <w:widowControl/>
              <w:tabs>
                <w:tab w:val="left" w:pos="900"/>
                <w:tab w:val="left" w:pos="1100"/>
              </w:tabs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具体详见招标控制价预算书的单价措施项目清单与计价表</w:t>
            </w:r>
          </w:p>
          <w:p w14:paraId="54549AF2">
            <w:pPr>
              <w:widowControl/>
              <w:tabs>
                <w:tab w:val="left" w:pos="900"/>
                <w:tab w:val="left" w:pos="1100"/>
              </w:tabs>
              <w:adjustRightIn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序号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：11-12、15-19；</w:t>
            </w:r>
          </w:p>
        </w:tc>
      </w:tr>
      <w:tr w14:paraId="07A56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 w14:paraId="71F84591">
            <w:pPr>
              <w:widowControl w:val="0"/>
              <w:tabs>
                <w:tab w:val="left" w:pos="180"/>
              </w:tabs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003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 w14:paraId="64C90276">
            <w:pPr>
              <w:widowControl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7.1.4</w:t>
            </w:r>
          </w:p>
        </w:tc>
        <w:tc>
          <w:tcPr>
            <w:tcW w:w="26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987FE">
            <w:pPr>
              <w:widowControl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ascii="ˎ̥" w:hAnsi="ˎ̥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影响工程质量安全的钢筋、钢结构的钢材、商品混凝土、水泥、预制桩、装配式建筑的预制构件等主要材料、设备</w:t>
            </w:r>
            <w:r>
              <w:rPr>
                <w:rFonts w:hint="eastAsia" w:ascii="ˎ̥" w:hAnsi="ˎ̥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及其招标控制价</w:t>
            </w:r>
            <w:r>
              <w:rPr>
                <w:rFonts w:ascii="ˎ̥" w:hAnsi="ˎ̥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中相</w:t>
            </w:r>
            <w:r>
              <w:rPr>
                <w:rFonts w:hint="eastAsia" w:ascii="ˎ̥" w:hAnsi="ˎ̥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应</w:t>
            </w:r>
            <w:r>
              <w:rPr>
                <w:rFonts w:ascii="ˎ̥" w:hAnsi="ˎ̥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材料、设备</w:t>
            </w:r>
            <w:r>
              <w:rPr>
                <w:rFonts w:hint="eastAsia" w:ascii="ˎ̥" w:hAnsi="ˎ̥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的单价</w:t>
            </w:r>
          </w:p>
        </w:tc>
        <w:tc>
          <w:tcPr>
            <w:tcW w:w="5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78E15A3F">
            <w:pPr>
              <w:widowControl/>
              <w:tabs>
                <w:tab w:val="left" w:pos="900"/>
                <w:tab w:val="left" w:pos="1100"/>
              </w:tabs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具体详见招标控制价预算书的人工、材料设备、机械汇总表：</w:t>
            </w:r>
          </w:p>
          <w:p w14:paraId="7B096744">
            <w:pPr>
              <w:widowControl/>
              <w:tabs>
                <w:tab w:val="left" w:pos="900"/>
                <w:tab w:val="left" w:pos="1100"/>
              </w:tabs>
              <w:adjustRightIn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材料序号：序号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4-20、3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56-373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、117-119</w:t>
            </w:r>
          </w:p>
        </w:tc>
      </w:tr>
    </w:tbl>
    <w:p w14:paraId="705AF2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xMDMxMzdhYTVhYjQ1ZjcxODlhNzhhMDU3ZWY4YTUifQ=="/>
    <w:docVar w:name="KSO_WPS_MARK_KEY" w:val="63f7ffd7-e35c-43da-bf84-eb5702ca3493"/>
  </w:docVars>
  <w:rsids>
    <w:rsidRoot w:val="0ECE65D5"/>
    <w:rsid w:val="02F67A3E"/>
    <w:rsid w:val="0AB63E06"/>
    <w:rsid w:val="0ECE65D5"/>
    <w:rsid w:val="140370BD"/>
    <w:rsid w:val="16257519"/>
    <w:rsid w:val="17C25EC9"/>
    <w:rsid w:val="191775ED"/>
    <w:rsid w:val="25096983"/>
    <w:rsid w:val="261313D3"/>
    <w:rsid w:val="28BD7A6A"/>
    <w:rsid w:val="28EB668C"/>
    <w:rsid w:val="38037E5B"/>
    <w:rsid w:val="40161AFD"/>
    <w:rsid w:val="44EF24B6"/>
    <w:rsid w:val="4B5C0D0B"/>
    <w:rsid w:val="54A92AE8"/>
    <w:rsid w:val="5A054C64"/>
    <w:rsid w:val="675564A9"/>
    <w:rsid w:val="6E327447"/>
    <w:rsid w:val="7000733D"/>
    <w:rsid w:val="79131914"/>
    <w:rsid w:val="7C72188D"/>
    <w:rsid w:val="7D4A0281"/>
    <w:rsid w:val="7FD0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338</Characters>
  <Lines>0</Lines>
  <Paragraphs>0</Paragraphs>
  <TotalTime>14</TotalTime>
  <ScaleCrop>false</ScaleCrop>
  <LinksUpToDate>false</LinksUpToDate>
  <CharactersWithSpaces>338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2024-08-07T09:16:00Z</dcterms:created>
  <dc:creator>Administrator</dc:creator>
  <cp:lastModifiedBy>邵邵~</cp:lastModifiedBy>
  <dcterms:modified xsi:type="dcterms:W3CDTF">2025-06-23T11:35:20Z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9C434A0AE96545219D9D1C9DA947FCEC_13</vt:lpwstr>
  </property>
  <property fmtid="{D5CDD505-2E9C-101B-9397-08002B2CF9AE}" pid="4" name="KSOTemplateDocerSaveRecord">
    <vt:lpwstr>eyJoZGlkIjoiMTY4ZmRhMzllYTMwM2I0NWE5YzkxY2JlNzRhMTgyYjUiLCJ1c2VySWQiOiI3NDM2NzM4OTgifQ==</vt:lpwstr>
  </property>
</Properties>
</file>